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六类淡水鱼实战作钓与智能决策报告</w:t>
      </w:r>
    </w:p>
    <w:p>
      <w:pPr>
        <w:pStyle w:val="Subtitle"/>
      </w:pPr>
      <w:r>
        <w:t>生口鱼与滑口鱼的装备 饵料 钓法和现场调整</w:t>
      </w:r>
    </w:p>
    <w:p>
      <w:r>
        <w:rPr>
          <w:sz w:val="18"/>
        </w:rPr>
        <w:t>版本 1.0    资料核查日期 2026年9月24日</w:t>
      </w:r>
    </w:p>
    <w:p>
      <w:r>
        <w:t>先确认鱼所在位置和水层能够正常摄食，再让钩饵到达并保持可入口状态；按体重和障碍物选足强度，最后优化口味、线组呈现与节奏。</w:t>
      </w:r>
    </w:p>
    <w:p>
      <w:r>
        <w:t>面向黑坑、养殖塘、水库、湖泊和缓流河道的岸钓。覆盖鲤鱼、鲫鱼、鲢鳙、草鱼、青鱼、罗非的生口与受钓压鱼；鲢鳙进一步区分白鲢与鳙鱼。主体采用手竿，巨物、远距离与较深水区给出带轮替代方案。</w:t>
      </w:r>
    </w:p>
    <w:p>
      <w:pPr>
        <w:pStyle w:val="Heading2"/>
      </w:pPr>
      <w:r>
        <w:t>按鱼种查用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3744"/>
        <w:gridCol w:w="5530"/>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20"/>
              </w:rPr>
              <w:t>鱼种</w:t>
            </w:r>
          </w:p>
        </w:tc>
        <w:tc>
          <w:tcPr>
            <w:tcW w:type="dxa" w:w="3744"/>
            <w:vAlign w:val="center"/>
            <w:shd w:fill="16394D"/>
          </w:tcPr>
          <w:p>
            <w:pPr>
              <w:spacing w:after="40" w:before="20" w:line="259" w:lineRule="auto"/>
              <w:jc w:val="left"/>
            </w:pPr>
            <w:r>
              <w:rPr>
                <w:rFonts w:ascii="Noto Sans CJK SC" w:hAnsi="Noto Sans CJK SC" w:eastAsia="Noto Sans CJK SC"/>
                <w:b/>
                <w:color w:val="FFFFFF"/>
                <w:sz w:val="20"/>
              </w:rPr>
              <w:t>主要起始方向</w:t>
            </w:r>
          </w:p>
        </w:tc>
        <w:tc>
          <w:tcPr>
            <w:tcW w:type="dxa" w:w="5530"/>
            <w:vAlign w:val="center"/>
            <w:shd w:fill="16394D"/>
          </w:tcPr>
          <w:p>
            <w:pPr>
              <w:spacing w:after="40" w:before="20" w:line="259" w:lineRule="auto"/>
              <w:jc w:val="left"/>
            </w:pPr>
            <w:r>
              <w:rPr>
                <w:rFonts w:ascii="Noto Sans CJK SC" w:hAnsi="Noto Sans CJK SC" w:eastAsia="Noto Sans CJK SC"/>
                <w:b/>
                <w:color w:val="FFFFFF"/>
                <w:sz w:val="20"/>
              </w:rPr>
              <w:t>需要单独处理的重点</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20"/>
              </w:rPr>
              <w:t>鲤鱼</w:t>
            </w:r>
          </w:p>
        </w:tc>
        <w:tc>
          <w:tcPr>
            <w:tcW w:type="dxa" w:w="3744"/>
            <w:vAlign w:val="center"/>
            <w:shd w:fill="FFFFFF"/>
          </w:tcPr>
          <w:p>
            <w:pPr>
              <w:spacing w:after="40" w:before="20" w:line="259" w:lineRule="auto"/>
              <w:jc w:val="left"/>
            </w:pPr>
            <w:r>
              <w:rPr>
                <w:rFonts w:ascii="Noto Sans CJK SC" w:hAnsi="Noto Sans CJK SC" w:eastAsia="Noto Sans CJK SC"/>
                <w:b w:val="0"/>
                <w:color w:val="17252C"/>
                <w:sz w:val="20"/>
              </w:rPr>
              <w:t>颗粒或谷物基底 近底起步</w:t>
            </w:r>
          </w:p>
        </w:tc>
        <w:tc>
          <w:tcPr>
            <w:tcW w:type="dxa" w:w="5530"/>
            <w:vAlign w:val="center"/>
            <w:shd w:fill="FFFFFF"/>
          </w:tcPr>
          <w:p>
            <w:pPr>
              <w:spacing w:after="40" w:before="20" w:line="259" w:lineRule="auto"/>
              <w:jc w:val="left"/>
            </w:pPr>
            <w:r>
              <w:rPr>
                <w:rFonts w:ascii="Noto Sans CJK SC" w:hAnsi="Noto Sans CJK SC" w:eastAsia="Noto Sans CJK SC"/>
                <w:b w:val="0"/>
                <w:color w:val="17252C"/>
                <w:sz w:val="20"/>
              </w:rPr>
              <w:t>回锅警戒 厚泥底 野钓搜鱼</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20"/>
              </w:rPr>
              <w:t>鲫鱼</w:t>
            </w:r>
          </w:p>
        </w:tc>
        <w:tc>
          <w:tcPr>
            <w:tcW w:type="dxa" w:w="3744"/>
            <w:vAlign w:val="center"/>
            <w:shd w:fill="F1F5F7"/>
          </w:tcPr>
          <w:p>
            <w:pPr>
              <w:spacing w:after="40" w:before="20" w:line="259" w:lineRule="auto"/>
              <w:jc w:val="left"/>
            </w:pPr>
            <w:r>
              <w:rPr>
                <w:rFonts w:ascii="Noto Sans CJK SC" w:hAnsi="Noto Sans CJK SC" w:eastAsia="Noto Sans CJK SC"/>
                <w:b w:val="0"/>
                <w:color w:val="17252C"/>
                <w:sz w:val="20"/>
              </w:rPr>
              <w:t>小软饵 轻量线组</w:t>
            </w:r>
          </w:p>
        </w:tc>
        <w:tc>
          <w:tcPr>
            <w:tcW w:type="dxa" w:w="5530"/>
            <w:vAlign w:val="center"/>
            <w:shd w:fill="F1F5F7"/>
          </w:tcPr>
          <w:p>
            <w:pPr>
              <w:spacing w:after="40" w:before="20" w:line="259" w:lineRule="auto"/>
              <w:jc w:val="left"/>
            </w:pPr>
            <w:r>
              <w:rPr>
                <w:rFonts w:ascii="Noto Sans CJK SC" w:hAnsi="Noto Sans CJK SC" w:eastAsia="Noto Sans CJK SC"/>
                <w:b w:val="0"/>
                <w:color w:val="17252C"/>
                <w:sz w:val="20"/>
              </w:rPr>
              <w:t>体型差异 草洞 风流与轻口</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20"/>
              </w:rPr>
              <w:t>鲢鳙</w:t>
            </w:r>
          </w:p>
        </w:tc>
        <w:tc>
          <w:tcPr>
            <w:tcW w:type="dxa" w:w="3744"/>
            <w:vAlign w:val="center"/>
            <w:shd w:fill="FFFFFF"/>
          </w:tcPr>
          <w:p>
            <w:pPr>
              <w:spacing w:after="40" w:before="20" w:line="259" w:lineRule="auto"/>
              <w:jc w:val="left"/>
            </w:pPr>
            <w:r>
              <w:rPr>
                <w:rFonts w:ascii="Noto Sans CJK SC" w:hAnsi="Noto Sans CJK SC" w:eastAsia="Noto Sans CJK SC"/>
                <w:b w:val="0"/>
                <w:color w:val="17252C"/>
                <w:sz w:val="20"/>
              </w:rPr>
              <w:t>保持可利用的颗粒带 找层</w:t>
            </w:r>
          </w:p>
        </w:tc>
        <w:tc>
          <w:tcPr>
            <w:tcW w:type="dxa" w:w="5530"/>
            <w:vAlign w:val="center"/>
            <w:shd w:fill="FFFFFF"/>
          </w:tcPr>
          <w:p>
            <w:pPr>
              <w:spacing w:after="40" w:before="20" w:line="259" w:lineRule="auto"/>
              <w:jc w:val="left"/>
            </w:pPr>
            <w:r>
              <w:rPr>
                <w:rFonts w:ascii="Noto Sans CJK SC" w:hAnsi="Noto Sans CJK SC" w:eastAsia="Noto Sans CJK SC"/>
                <w:b w:val="0"/>
                <w:color w:val="17252C"/>
                <w:sz w:val="20"/>
              </w:rPr>
              <w:t>白鲢与鳙鱼分别试饵 强走水冲突</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20"/>
              </w:rPr>
              <w:t>草鱼</w:t>
            </w:r>
          </w:p>
        </w:tc>
        <w:tc>
          <w:tcPr>
            <w:tcW w:type="dxa" w:w="3744"/>
            <w:vAlign w:val="center"/>
            <w:shd w:fill="F1F5F7"/>
          </w:tcPr>
          <w:p>
            <w:pPr>
              <w:spacing w:after="40" w:before="20" w:line="259" w:lineRule="auto"/>
              <w:jc w:val="left"/>
            </w:pPr>
            <w:r>
              <w:rPr>
                <w:rFonts w:ascii="Noto Sans CJK SC" w:hAnsi="Noto Sans CJK SC" w:eastAsia="Noto Sans CJK SC"/>
                <w:b w:val="0"/>
                <w:color w:val="17252C"/>
                <w:sz w:val="20"/>
              </w:rPr>
              <w:t>熟悉颗粒或玉米 根据摄食找层</w:t>
            </w:r>
          </w:p>
        </w:tc>
        <w:tc>
          <w:tcPr>
            <w:tcW w:type="dxa" w:w="5530"/>
            <w:vAlign w:val="center"/>
            <w:shd w:fill="F1F5F7"/>
          </w:tcPr>
          <w:p>
            <w:pPr>
              <w:spacing w:after="40" w:before="20" w:line="259" w:lineRule="auto"/>
              <w:jc w:val="left"/>
            </w:pPr>
            <w:r>
              <w:rPr>
                <w:rFonts w:ascii="Noto Sans CJK SC" w:hAnsi="Noto Sans CJK SC" w:eastAsia="Noto Sans CJK SC"/>
                <w:b w:val="0"/>
                <w:color w:val="17252C"/>
                <w:sz w:val="20"/>
              </w:rPr>
              <w:t>草边观察 中层截口 冲障碍</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20"/>
              </w:rPr>
              <w:t>青鱼</w:t>
            </w:r>
          </w:p>
        </w:tc>
        <w:tc>
          <w:tcPr>
            <w:tcW w:type="dxa" w:w="3744"/>
            <w:vAlign w:val="center"/>
            <w:shd w:fill="FFFFFF"/>
          </w:tcPr>
          <w:p>
            <w:pPr>
              <w:spacing w:after="40" w:before="20" w:line="259" w:lineRule="auto"/>
              <w:jc w:val="left"/>
            </w:pPr>
            <w:r>
              <w:rPr>
                <w:rFonts w:ascii="Noto Sans CJK SC" w:hAnsi="Noto Sans CJK SC" w:eastAsia="Noto Sans CJK SC"/>
                <w:b w:val="0"/>
                <w:color w:val="17252C"/>
                <w:sz w:val="20"/>
              </w:rPr>
              <w:t>熟悉颗粒或允许的螺类 守底</w:t>
            </w:r>
          </w:p>
        </w:tc>
        <w:tc>
          <w:tcPr>
            <w:tcW w:type="dxa" w:w="5530"/>
            <w:vAlign w:val="center"/>
            <w:shd w:fill="FFFFFF"/>
          </w:tcPr>
          <w:p>
            <w:pPr>
              <w:spacing w:after="40" w:before="20" w:line="259" w:lineRule="auto"/>
              <w:jc w:val="left"/>
            </w:pPr>
            <w:r>
              <w:rPr>
                <w:rFonts w:ascii="Noto Sans CJK SC" w:hAnsi="Noto Sans CJK SC" w:eastAsia="Noto Sans CJK SC"/>
                <w:b w:val="0"/>
                <w:color w:val="17252C"/>
                <w:sz w:val="20"/>
              </w:rPr>
              <w:t>巨物带轮 负荷匹配 螺饵陷泥</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20"/>
              </w:rPr>
              <w:t>罗非</w:t>
            </w:r>
          </w:p>
        </w:tc>
        <w:tc>
          <w:tcPr>
            <w:tcW w:type="dxa" w:w="3744"/>
            <w:vAlign w:val="center"/>
            <w:shd w:fill="F1F5F7"/>
          </w:tcPr>
          <w:p>
            <w:pPr>
              <w:spacing w:after="40" w:before="20" w:line="259" w:lineRule="auto"/>
              <w:jc w:val="left"/>
            </w:pPr>
            <w:r>
              <w:rPr>
                <w:rFonts w:ascii="Noto Sans CJK SC" w:hAnsi="Noto Sans CJK SC" w:eastAsia="Noto Sans CJK SC"/>
                <w:b w:val="0"/>
                <w:color w:val="17252C"/>
                <w:sz w:val="20"/>
              </w:rPr>
              <w:t>熟悉颗粒软饵 小团可入口</w:t>
            </w:r>
          </w:p>
        </w:tc>
        <w:tc>
          <w:tcPr>
            <w:tcW w:type="dxa" w:w="5530"/>
            <w:vAlign w:val="center"/>
            <w:shd w:fill="F1F5F7"/>
          </w:tcPr>
          <w:p>
            <w:pPr>
              <w:spacing w:after="40" w:before="20" w:line="259" w:lineRule="auto"/>
              <w:jc w:val="left"/>
            </w:pPr>
            <w:r>
              <w:rPr>
                <w:rFonts w:ascii="Noto Sans CJK SC" w:hAnsi="Noto Sans CJK SC" w:eastAsia="Noto Sans CJK SC"/>
                <w:b w:val="0"/>
                <w:color w:val="17252C"/>
                <w:sz w:val="20"/>
              </w:rPr>
              <w:t>种系 温度适应 运输及伤鱼</w:t>
            </w:r>
          </w:p>
        </w:tc>
      </w:tr>
    </w:tbl>
    <w:p>
      <w:pPr>
        <w:spacing w:after="0"/>
      </w:pPr>
      <w:r>
        <w:rPr>
          <w:sz w:val="6"/>
        </w:rPr>
      </w:r>
    </w:p>
    <w:p>
      <w:r>
        <w:rPr>
          <w:b/>
        </w:rPr>
        <w:t>使用范围：</w:t>
      </w:r>
      <w:r>
        <w:t>本报告以可组合的常见场景覆盖实际作钓。遇到明显鱼体异常、无法控线、装备不匹配或规则限制时，先修正条件；不提供万能味型、固定黄金时刻或保证鱼获的承诺。</w:t>
      </w:r>
    </w:p>
    <w:p>
      <w:r>
        <w:rPr>
          <w:sz w:val="19"/>
        </w:rPr>
        <w:t>文中A类为官方物种、水环境资料和原始研究；B类为标准组织及钓具厂商技术说明；C类为本报告提出的实务起始配置。C类参数需要现场验证，不代表论文证明的最佳配方，也不代表鱼获保证。</w:t>
      </w:r>
    </w:p>
    <w:p>
      <w:pPr>
        <w:pStyle w:val="Heading1"/>
        <w:pageBreakBefore/>
      </w:pPr>
      <w:r>
        <w:t>使用顺序与现场输入</w:t>
      </w:r>
    </w:p>
    <w:p>
      <w:r>
        <w:t>先按鱼种和可能遇到的上限体型选基础装备，再叠加环境与鱼口调整。生口、滑口描述钓捕经历；活跃、轻口、乱口描述当下表现，两类信息分别记录。新放鱼也可能尚未恢复摄食。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792"/>
        <w:gridCol w:w="3168"/>
        <w:gridCol w:w="6322"/>
      </w:tblGrid>
      <w:tr>
        <w:trPr>
          <w:tblHeader/>
          <w:cantSplit/>
        </w:trPr>
        <w:tc>
          <w:tcPr>
            <w:tcW w:type="dxa" w:w="792"/>
            <w:vAlign w:val="center"/>
            <w:shd w:fill="16394D"/>
          </w:tcPr>
          <w:p>
            <w:pPr>
              <w:spacing w:after="40" w:before="20" w:line="259" w:lineRule="auto"/>
              <w:jc w:val="center"/>
            </w:pPr>
            <w:r>
              <w:rPr>
                <w:rFonts w:ascii="Noto Sans CJK SC" w:hAnsi="Noto Sans CJK SC" w:eastAsia="Noto Sans CJK SC"/>
                <w:b/>
                <w:color w:val="FFFFFF"/>
                <w:sz w:val="20"/>
              </w:rPr>
              <w:t>次序</w:t>
            </w:r>
          </w:p>
        </w:tc>
        <w:tc>
          <w:tcPr>
            <w:tcW w:type="dxa" w:w="3168"/>
            <w:vAlign w:val="center"/>
            <w:shd w:fill="16394D"/>
          </w:tcPr>
          <w:p>
            <w:pPr>
              <w:spacing w:after="40" w:before="20" w:line="259" w:lineRule="auto"/>
              <w:jc w:val="left"/>
            </w:pPr>
            <w:r>
              <w:rPr>
                <w:rFonts w:ascii="Noto Sans CJK SC" w:hAnsi="Noto Sans CJK SC" w:eastAsia="Noto Sans CJK SC"/>
                <w:b/>
                <w:color w:val="FFFFFF"/>
                <w:sz w:val="20"/>
              </w:rPr>
              <w:t>先确认什么</w:t>
            </w:r>
          </w:p>
        </w:tc>
        <w:tc>
          <w:tcPr>
            <w:tcW w:type="dxa" w:w="6322"/>
            <w:vAlign w:val="center"/>
            <w:shd w:fill="16394D"/>
          </w:tcPr>
          <w:p>
            <w:pPr>
              <w:spacing w:after="40" w:before="20" w:line="259" w:lineRule="auto"/>
              <w:jc w:val="left"/>
            </w:pPr>
            <w:r>
              <w:rPr>
                <w:rFonts w:ascii="Noto Sans CJK SC" w:hAnsi="Noto Sans CJK SC" w:eastAsia="Noto Sans CJK SC"/>
                <w:b/>
                <w:color w:val="FFFFFF"/>
                <w:sz w:val="20"/>
              </w:rPr>
              <w:t>据此做什么</w:t>
            </w:r>
          </w:p>
        </w:tc>
      </w:tr>
      <w:tr>
        <w:trPr>
          <w:cantSplit/>
        </w:trPr>
        <w:tc>
          <w:tcPr>
            <w:tcW w:type="dxa" w:w="792"/>
            <w:vAlign w:val="center"/>
            <w:shd w:fill="FFFFFF"/>
          </w:tcPr>
          <w:p>
            <w:pPr>
              <w:spacing w:after="40" w:before="20" w:line="259" w:lineRule="auto"/>
              <w:jc w:val="center"/>
            </w:pPr>
            <w:r>
              <w:rPr>
                <w:rFonts w:ascii="Noto Sans CJK SC" w:hAnsi="Noto Sans CJK SC" w:eastAsia="Noto Sans CJK SC"/>
                <w:b w:val="0"/>
                <w:color w:val="17252C"/>
                <w:sz w:val="20"/>
              </w:rPr>
              <w:t>1</w:t>
            </w:r>
          </w:p>
        </w:tc>
        <w:tc>
          <w:tcPr>
            <w:tcW w:type="dxa" w:w="3168"/>
            <w:vAlign w:val="center"/>
            <w:shd w:fill="FFFFFF"/>
          </w:tcPr>
          <w:p>
            <w:pPr>
              <w:spacing w:after="40" w:before="20" w:line="259" w:lineRule="auto"/>
              <w:jc w:val="left"/>
            </w:pPr>
            <w:r>
              <w:rPr>
                <w:rFonts w:ascii="Noto Sans CJK SC" w:hAnsi="Noto Sans CJK SC" w:eastAsia="Noto Sans CJK SC"/>
                <w:b w:val="0"/>
                <w:color w:val="17252C"/>
                <w:sz w:val="20"/>
              </w:rPr>
              <w:t>场规和当地允许的方法</w:t>
            </w:r>
          </w:p>
        </w:tc>
        <w:tc>
          <w:tcPr>
            <w:tcW w:type="dxa" w:w="6322"/>
            <w:vAlign w:val="center"/>
            <w:shd w:fill="FFFFFF"/>
          </w:tcPr>
          <w:p>
            <w:pPr>
              <w:spacing w:after="40" w:before="20" w:line="259" w:lineRule="auto"/>
              <w:jc w:val="left"/>
            </w:pPr>
            <w:r>
              <w:rPr>
                <w:rFonts w:ascii="Noto Sans CJK SC" w:hAnsi="Noto Sans CJK SC" w:eastAsia="Noto Sans CJK SC"/>
                <w:b w:val="0"/>
                <w:color w:val="17252C"/>
                <w:sz w:val="20"/>
              </w:rPr>
              <w:t>确认竿长 钩数 活饵 散窝 带轮限制；冲突时替换整套方案</w:t>
            </w:r>
          </w:p>
        </w:tc>
      </w:tr>
      <w:tr>
        <w:trPr>
          <w:cantSplit/>
        </w:trPr>
        <w:tc>
          <w:tcPr>
            <w:tcW w:type="dxa" w:w="792"/>
            <w:vAlign w:val="center"/>
            <w:shd w:fill="F1F5F7"/>
          </w:tcPr>
          <w:p>
            <w:pPr>
              <w:spacing w:after="40" w:before="20" w:line="259" w:lineRule="auto"/>
              <w:jc w:val="center"/>
            </w:pPr>
            <w:r>
              <w:rPr>
                <w:rFonts w:ascii="Noto Sans CJK SC" w:hAnsi="Noto Sans CJK SC" w:eastAsia="Noto Sans CJK SC"/>
                <w:b w:val="0"/>
                <w:color w:val="17252C"/>
                <w:sz w:val="20"/>
              </w:rPr>
              <w:t>2</w:t>
            </w:r>
          </w:p>
        </w:tc>
        <w:tc>
          <w:tcPr>
            <w:tcW w:type="dxa" w:w="3168"/>
            <w:vAlign w:val="center"/>
            <w:shd w:fill="F1F5F7"/>
          </w:tcPr>
          <w:p>
            <w:pPr>
              <w:spacing w:after="40" w:before="20" w:line="259" w:lineRule="auto"/>
              <w:jc w:val="left"/>
            </w:pPr>
            <w:r>
              <w:rPr>
                <w:rFonts w:ascii="Noto Sans CJK SC" w:hAnsi="Noto Sans CJK SC" w:eastAsia="Noto Sans CJK SC"/>
                <w:b w:val="0"/>
                <w:color w:val="17252C"/>
                <w:sz w:val="20"/>
              </w:rPr>
              <w:t>鱼是否正常活动和摄食</w:t>
            </w:r>
          </w:p>
        </w:tc>
        <w:tc>
          <w:tcPr>
            <w:tcW w:type="dxa" w:w="6322"/>
            <w:vAlign w:val="center"/>
            <w:shd w:fill="F1F5F7"/>
          </w:tcPr>
          <w:p>
            <w:pPr>
              <w:spacing w:after="40" w:before="20" w:line="259" w:lineRule="auto"/>
              <w:jc w:val="left"/>
            </w:pPr>
            <w:r>
              <w:rPr>
                <w:rFonts w:ascii="Noto Sans CJK SC" w:hAnsi="Noto Sans CJK SC" w:eastAsia="Noto Sans CJK SC"/>
                <w:b w:val="0"/>
                <w:color w:val="17252C"/>
                <w:sz w:val="20"/>
              </w:rPr>
              <w:t>明显浮头或低氧先暂停补窝，核查水环境</w:t>
            </w:r>
          </w:p>
        </w:tc>
      </w:tr>
      <w:tr>
        <w:trPr>
          <w:cantSplit/>
        </w:trPr>
        <w:tc>
          <w:tcPr>
            <w:tcW w:type="dxa" w:w="792"/>
            <w:vAlign w:val="center"/>
            <w:shd w:fill="FFFFFF"/>
          </w:tcPr>
          <w:p>
            <w:pPr>
              <w:spacing w:after="40" w:before="20" w:line="259" w:lineRule="auto"/>
              <w:jc w:val="center"/>
            </w:pPr>
            <w:r>
              <w:rPr>
                <w:rFonts w:ascii="Noto Sans CJK SC" w:hAnsi="Noto Sans CJK SC" w:eastAsia="Noto Sans CJK SC"/>
                <w:b w:val="0"/>
                <w:color w:val="17252C"/>
                <w:sz w:val="20"/>
              </w:rPr>
              <w:t>3</w:t>
            </w:r>
          </w:p>
        </w:tc>
        <w:tc>
          <w:tcPr>
            <w:tcW w:type="dxa" w:w="3168"/>
            <w:vAlign w:val="center"/>
            <w:shd w:fill="FFFFFF"/>
          </w:tcPr>
          <w:p>
            <w:pPr>
              <w:spacing w:after="40" w:before="20" w:line="259" w:lineRule="auto"/>
              <w:jc w:val="left"/>
            </w:pPr>
            <w:r>
              <w:rPr>
                <w:rFonts w:ascii="Noto Sans CJK SC" w:hAnsi="Noto Sans CJK SC" w:eastAsia="Noto Sans CJK SC"/>
                <w:b w:val="0"/>
                <w:color w:val="17252C"/>
                <w:sz w:val="20"/>
              </w:rPr>
              <w:t>鱼体上限和障碍物</w:t>
            </w:r>
          </w:p>
        </w:tc>
        <w:tc>
          <w:tcPr>
            <w:tcW w:type="dxa" w:w="6322"/>
            <w:vAlign w:val="center"/>
            <w:shd w:fill="FFFFFF"/>
          </w:tcPr>
          <w:p>
            <w:pPr>
              <w:spacing w:after="40" w:before="20" w:line="259" w:lineRule="auto"/>
              <w:jc w:val="left"/>
            </w:pPr>
            <w:r>
              <w:rPr>
                <w:rFonts w:ascii="Noto Sans CJK SC" w:hAnsi="Noto Sans CJK SC" w:eastAsia="Noto Sans CJK SC"/>
                <w:b w:val="0"/>
                <w:color w:val="17252C"/>
                <w:sz w:val="20"/>
              </w:rPr>
              <w:t>决定主子线 钩强度 竿轮与遛鱼空间；不被滑口建议覆盖</w:t>
            </w:r>
          </w:p>
        </w:tc>
      </w:tr>
      <w:tr>
        <w:trPr>
          <w:cantSplit/>
        </w:trPr>
        <w:tc>
          <w:tcPr>
            <w:tcW w:type="dxa" w:w="792"/>
            <w:vAlign w:val="center"/>
            <w:shd w:fill="F1F5F7"/>
          </w:tcPr>
          <w:p>
            <w:pPr>
              <w:spacing w:after="40" w:before="20" w:line="259" w:lineRule="auto"/>
              <w:jc w:val="center"/>
            </w:pPr>
            <w:r>
              <w:rPr>
                <w:rFonts w:ascii="Noto Sans CJK SC" w:hAnsi="Noto Sans CJK SC" w:eastAsia="Noto Sans CJK SC"/>
                <w:b w:val="0"/>
                <w:color w:val="17252C"/>
                <w:sz w:val="20"/>
              </w:rPr>
              <w:t>4</w:t>
            </w:r>
          </w:p>
        </w:tc>
        <w:tc>
          <w:tcPr>
            <w:tcW w:type="dxa" w:w="3168"/>
            <w:vAlign w:val="center"/>
            <w:shd w:fill="F1F5F7"/>
          </w:tcPr>
          <w:p>
            <w:pPr>
              <w:spacing w:after="40" w:before="20" w:line="259" w:lineRule="auto"/>
              <w:jc w:val="left"/>
            </w:pPr>
            <w:r>
              <w:rPr>
                <w:rFonts w:ascii="Noto Sans CJK SC" w:hAnsi="Noto Sans CJK SC" w:eastAsia="Noto Sans CJK SC"/>
                <w:b w:val="0"/>
                <w:color w:val="17252C"/>
                <w:sz w:val="20"/>
              </w:rPr>
              <w:t>水深 水流 底质</w:t>
            </w:r>
          </w:p>
        </w:tc>
        <w:tc>
          <w:tcPr>
            <w:tcW w:type="dxa" w:w="6322"/>
            <w:vAlign w:val="center"/>
            <w:shd w:fill="F1F5F7"/>
          </w:tcPr>
          <w:p>
            <w:pPr>
              <w:spacing w:after="40" w:before="20" w:line="259" w:lineRule="auto"/>
              <w:jc w:val="left"/>
            </w:pPr>
            <w:r>
              <w:rPr>
                <w:rFonts w:ascii="Noto Sans CJK SC" w:hAnsi="Noto Sans CJK SC" w:eastAsia="Noto Sans CJK SC"/>
                <w:b w:val="0"/>
                <w:color w:val="17252C"/>
                <w:sz w:val="20"/>
              </w:rPr>
              <w:t>确认饵能到位并保持入口状态；必要时换钓法或钓位</w:t>
            </w:r>
          </w:p>
        </w:tc>
      </w:tr>
      <w:tr>
        <w:trPr>
          <w:cantSplit/>
        </w:trPr>
        <w:tc>
          <w:tcPr>
            <w:tcW w:type="dxa" w:w="792"/>
            <w:vAlign w:val="center"/>
            <w:shd w:fill="FFFFFF"/>
          </w:tcPr>
          <w:p>
            <w:pPr>
              <w:spacing w:after="40" w:before="20" w:line="259" w:lineRule="auto"/>
              <w:jc w:val="center"/>
            </w:pPr>
            <w:r>
              <w:rPr>
                <w:rFonts w:ascii="Noto Sans CJK SC" w:hAnsi="Noto Sans CJK SC" w:eastAsia="Noto Sans CJK SC"/>
                <w:b w:val="0"/>
                <w:color w:val="17252C"/>
                <w:sz w:val="20"/>
              </w:rPr>
              <w:t>5</w:t>
            </w:r>
          </w:p>
        </w:tc>
        <w:tc>
          <w:tcPr>
            <w:tcW w:type="dxa" w:w="3168"/>
            <w:vAlign w:val="center"/>
            <w:shd w:fill="FFFFFF"/>
          </w:tcPr>
          <w:p>
            <w:pPr>
              <w:spacing w:after="40" w:before="20" w:line="259" w:lineRule="auto"/>
              <w:jc w:val="left"/>
            </w:pPr>
            <w:r>
              <w:rPr>
                <w:rFonts w:ascii="Noto Sans CJK SC" w:hAnsi="Noto Sans CJK SC" w:eastAsia="Noto Sans CJK SC"/>
                <w:b w:val="0"/>
                <w:color w:val="17252C"/>
                <w:sz w:val="20"/>
              </w:rPr>
              <w:t>投喂习惯和鱼种</w:t>
            </w:r>
          </w:p>
        </w:tc>
        <w:tc>
          <w:tcPr>
            <w:tcW w:type="dxa" w:w="6322"/>
            <w:vAlign w:val="center"/>
            <w:shd w:fill="FFFFFF"/>
          </w:tcPr>
          <w:p>
            <w:pPr>
              <w:spacing w:after="40" w:before="20" w:line="259" w:lineRule="auto"/>
              <w:jc w:val="left"/>
            </w:pPr>
            <w:r>
              <w:rPr>
                <w:rFonts w:ascii="Noto Sans CJK SC" w:hAnsi="Noto Sans CJK SC" w:eastAsia="Noto Sans CJK SC"/>
                <w:b w:val="0"/>
                <w:color w:val="17252C"/>
                <w:sz w:val="20"/>
              </w:rPr>
              <w:t>确定基础饵和搜索水层，保留一份对照饵</w:t>
            </w:r>
          </w:p>
        </w:tc>
      </w:tr>
      <w:tr>
        <w:trPr>
          <w:cantSplit/>
        </w:trPr>
        <w:tc>
          <w:tcPr>
            <w:tcW w:type="dxa" w:w="792"/>
            <w:vAlign w:val="center"/>
            <w:shd w:fill="F1F5F7"/>
          </w:tcPr>
          <w:p>
            <w:pPr>
              <w:spacing w:after="40" w:before="20" w:line="259" w:lineRule="auto"/>
              <w:jc w:val="center"/>
            </w:pPr>
            <w:r>
              <w:rPr>
                <w:rFonts w:ascii="Noto Sans CJK SC" w:hAnsi="Noto Sans CJK SC" w:eastAsia="Noto Sans CJK SC"/>
                <w:b w:val="0"/>
                <w:color w:val="17252C"/>
                <w:sz w:val="20"/>
              </w:rPr>
              <w:t>6</w:t>
            </w:r>
          </w:p>
        </w:tc>
        <w:tc>
          <w:tcPr>
            <w:tcW w:type="dxa" w:w="3168"/>
            <w:vAlign w:val="center"/>
            <w:shd w:fill="F1F5F7"/>
          </w:tcPr>
          <w:p>
            <w:pPr>
              <w:spacing w:after="40" w:before="20" w:line="259" w:lineRule="auto"/>
              <w:jc w:val="left"/>
            </w:pPr>
            <w:r>
              <w:rPr>
                <w:rFonts w:ascii="Noto Sans CJK SC" w:hAnsi="Noto Sans CJK SC" w:eastAsia="Noto Sans CJK SC"/>
                <w:b w:val="0"/>
                <w:color w:val="17252C"/>
                <w:sz w:val="20"/>
              </w:rPr>
              <w:t>生滑口与当前鱼讯</w:t>
            </w:r>
          </w:p>
        </w:tc>
        <w:tc>
          <w:tcPr>
            <w:tcW w:type="dxa" w:w="6322"/>
            <w:vAlign w:val="center"/>
            <w:shd w:fill="F1F5F7"/>
          </w:tcPr>
          <w:p>
            <w:pPr>
              <w:spacing w:after="40" w:before="20" w:line="259" w:lineRule="auto"/>
              <w:jc w:val="left"/>
            </w:pPr>
            <w:r>
              <w:rPr>
                <w:rFonts w:ascii="Noto Sans CJK SC" w:hAnsi="Noto Sans CJK SC" w:eastAsia="Noto Sans CJK SC"/>
                <w:b w:val="0"/>
                <w:color w:val="17252C"/>
                <w:sz w:val="20"/>
              </w:rPr>
              <w:t>微调饵形 软硬 节奏；一次只改一项</w:t>
            </w:r>
          </w:p>
        </w:tc>
      </w:tr>
      <w:tr>
        <w:trPr>
          <w:cantSplit/>
        </w:trPr>
        <w:tc>
          <w:tcPr>
            <w:tcW w:type="dxa" w:w="792"/>
            <w:vAlign w:val="center"/>
            <w:shd w:fill="FFFFFF"/>
          </w:tcPr>
          <w:p>
            <w:pPr>
              <w:spacing w:after="40" w:before="20" w:line="259" w:lineRule="auto"/>
              <w:jc w:val="center"/>
            </w:pPr>
            <w:r>
              <w:rPr>
                <w:rFonts w:ascii="Noto Sans CJK SC" w:hAnsi="Noto Sans CJK SC" w:eastAsia="Noto Sans CJK SC"/>
                <w:b w:val="0"/>
                <w:color w:val="17252C"/>
                <w:sz w:val="20"/>
              </w:rPr>
              <w:t>7</w:t>
            </w:r>
          </w:p>
        </w:tc>
        <w:tc>
          <w:tcPr>
            <w:tcW w:type="dxa" w:w="3168"/>
            <w:vAlign w:val="center"/>
            <w:shd w:fill="FFFFFF"/>
          </w:tcPr>
          <w:p>
            <w:pPr>
              <w:spacing w:after="40" w:before="20" w:line="259" w:lineRule="auto"/>
              <w:jc w:val="left"/>
            </w:pPr>
            <w:r>
              <w:rPr>
                <w:rFonts w:ascii="Noto Sans CJK SC" w:hAnsi="Noto Sans CJK SC" w:eastAsia="Noto Sans CJK SC"/>
                <w:b w:val="0"/>
                <w:color w:val="17252C"/>
                <w:sz w:val="20"/>
              </w:rPr>
              <w:t>改变后是否持续改善</w:t>
            </w:r>
          </w:p>
        </w:tc>
        <w:tc>
          <w:tcPr>
            <w:tcW w:type="dxa" w:w="6322"/>
            <w:vAlign w:val="center"/>
            <w:shd w:fill="FFFFFF"/>
          </w:tcPr>
          <w:p>
            <w:pPr>
              <w:spacing w:after="40" w:before="20" w:line="259" w:lineRule="auto"/>
              <w:jc w:val="left"/>
            </w:pPr>
            <w:r>
              <w:rPr>
                <w:rFonts w:ascii="Noto Sans CJK SC" w:hAnsi="Noto Sans CJK SC" w:eastAsia="Noto Sans CJK SC"/>
                <w:b w:val="0"/>
                <w:color w:val="17252C"/>
                <w:sz w:val="20"/>
              </w:rPr>
              <w:t>保留能反复提高正口的变化；失败就回退或换假设</w:t>
            </w:r>
          </w:p>
        </w:tc>
      </w:tr>
    </w:tbl>
    <w:p>
      <w:pPr>
        <w:spacing w:after="0"/>
      </w:pPr>
      <w:r>
        <w:rPr>
          <w:sz w:val="6"/>
        </w:rPr>
      </w:r>
    </w:p>
    <w:p>
      <w:pPr>
        <w:pStyle w:val="Heading2"/>
      </w:pPr>
      <w:r>
        <w:t>到场五分钟记录</w:t>
      </w:r>
    </w:p>
    <w:p>
      <w:r>
        <w:t>记录目标鱼与估计体重、当前时刻、实测水温及深度、近期投喂放鱼时间、增氧状态、邻位是否持续同种鱼正口、底质和流速。水温、溶氧或体重未知时保持未知，不把气温换成水温。</w:t>
      </w:r>
    </w:p>
    <w:p>
      <w:r>
        <w:rPr>
          <w:b/>
        </w:rPr>
        <w:t>水质优先：</w:t>
      </w:r>
      <w:r>
        <w:t>能测量时比较表层、中层及离底约10至20厘米的水温和溶氧，避免探头陷泥。水色、气味、鱼呼吸表现可提示候选原因，不能替代实测。[S01][S02]</w:t>
      </w:r>
    </w:p>
    <w:p>
      <w:r>
        <w:rPr>
          <w:b/>
        </w:rPr>
        <w:t>气压使用：</w:t>
      </w:r>
      <w:r>
        <w:t>单个气压读数不确定实际溶氧，更不能推出某时刻必开口。气压趋势仅作辅助信息，水层实测和鱼的实际行为优先。[S03]</w:t>
      </w:r>
    </w:p>
    <w:p>
      <w:pPr>
        <w:pStyle w:val="Heading1"/>
        <w:pageBreakBefore/>
      </w:pPr>
      <w:r>
        <w:t>线组计量与装备匹配</w:t>
      </w:r>
    </w:p>
    <w:p>
      <w:r>
        <w:t>1千克等于2斤。表中主线与子线默认尼龙单丝；号数用于描述标称线径，不能直接换算成可钓鱼重。鱼钩写明钩型与号数，各品牌尺寸和钩条粗细仍须核对。子线长度按八字环至单钩计算，双钩另计钩距。</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728"/>
        <w:gridCol w:w="3413"/>
        <w:gridCol w:w="1728"/>
        <w:gridCol w:w="3413"/>
      </w:tblGrid>
      <w:tr>
        <w:trPr>
          <w:tblHeader/>
          <w:cantSplit/>
        </w:trPr>
        <w:tc>
          <w:tcPr>
            <w:tcW w:type="dxa" w:w="1728"/>
            <w:vAlign w:val="center"/>
            <w:shd w:fill="16394D"/>
          </w:tcPr>
          <w:p>
            <w:pPr>
              <w:spacing w:after="40" w:before="20" w:line="259" w:lineRule="auto"/>
              <w:jc w:val="center"/>
            </w:pPr>
            <w:r>
              <w:rPr>
                <w:rFonts w:ascii="Noto Sans CJK SC" w:hAnsi="Noto Sans CJK SC" w:eastAsia="Noto Sans CJK SC"/>
                <w:b/>
                <w:color w:val="FFFFFF"/>
                <w:sz w:val="20"/>
              </w:rPr>
              <w:t>尼龙号数</w:t>
            </w:r>
          </w:p>
        </w:tc>
        <w:tc>
          <w:tcPr>
            <w:tcW w:type="dxa" w:w="3413"/>
            <w:vAlign w:val="center"/>
            <w:shd w:fill="16394D"/>
          </w:tcPr>
          <w:p>
            <w:pPr>
              <w:spacing w:after="40" w:before="20" w:line="259" w:lineRule="auto"/>
              <w:jc w:val="left"/>
            </w:pPr>
            <w:r>
              <w:rPr>
                <w:rFonts w:ascii="Noto Sans CJK SC" w:hAnsi="Noto Sans CJK SC" w:eastAsia="Noto Sans CJK SC"/>
                <w:b/>
                <w:color w:val="FFFFFF"/>
                <w:sz w:val="20"/>
              </w:rPr>
              <w:t>标称线径 毫米</w:t>
            </w:r>
          </w:p>
        </w:tc>
        <w:tc>
          <w:tcPr>
            <w:tcW w:type="dxa" w:w="1728"/>
            <w:vAlign w:val="center"/>
            <w:shd w:fill="16394D"/>
          </w:tcPr>
          <w:p>
            <w:pPr>
              <w:spacing w:after="40" w:before="20" w:line="259" w:lineRule="auto"/>
              <w:jc w:val="left"/>
            </w:pPr>
            <w:r>
              <w:rPr>
                <w:rFonts w:ascii="Noto Sans CJK SC" w:hAnsi="Noto Sans CJK SC" w:eastAsia="Noto Sans CJK SC"/>
                <w:b/>
                <w:color w:val="FFFFFF"/>
                <w:sz w:val="20"/>
              </w:rPr>
              <w:t>尼龙号数</w:t>
            </w:r>
          </w:p>
        </w:tc>
        <w:tc>
          <w:tcPr>
            <w:tcW w:type="dxa" w:w="3413"/>
            <w:vAlign w:val="center"/>
            <w:shd w:fill="16394D"/>
          </w:tcPr>
          <w:p>
            <w:pPr>
              <w:spacing w:after="40" w:before="20" w:line="259" w:lineRule="auto"/>
              <w:jc w:val="left"/>
            </w:pPr>
            <w:r>
              <w:rPr>
                <w:rFonts w:ascii="Noto Sans CJK SC" w:hAnsi="Noto Sans CJK SC" w:eastAsia="Noto Sans CJK SC"/>
                <w:b/>
                <w:color w:val="FFFFFF"/>
                <w:sz w:val="20"/>
              </w:rPr>
              <w:t>标称线径 毫米</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20"/>
              </w:rPr>
              <w:t>0.4</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0.104</w:t>
            </w:r>
          </w:p>
        </w:tc>
        <w:tc>
          <w:tcPr>
            <w:tcW w:type="dxa" w:w="1728"/>
            <w:vAlign w:val="center"/>
            <w:shd w:fill="FFFFFF"/>
          </w:tcPr>
          <w:p>
            <w:pPr>
              <w:spacing w:after="40" w:before="20" w:line="259" w:lineRule="auto"/>
              <w:jc w:val="left"/>
            </w:pPr>
            <w:r>
              <w:rPr>
                <w:rFonts w:ascii="Noto Sans CJK SC" w:hAnsi="Noto Sans CJK SC" w:eastAsia="Noto Sans CJK SC"/>
                <w:b w:val="0"/>
                <w:color w:val="17252C"/>
                <w:sz w:val="20"/>
              </w:rPr>
              <w:t>0.6</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0.128</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20"/>
              </w:rPr>
              <w:t>0.8</w:t>
            </w:r>
          </w:p>
        </w:tc>
        <w:tc>
          <w:tcPr>
            <w:tcW w:type="dxa" w:w="3413"/>
            <w:vAlign w:val="center"/>
            <w:shd w:fill="F1F5F7"/>
          </w:tcPr>
          <w:p>
            <w:pPr>
              <w:spacing w:after="40" w:before="20" w:line="259" w:lineRule="auto"/>
              <w:jc w:val="left"/>
            </w:pPr>
            <w:r>
              <w:rPr>
                <w:rFonts w:ascii="Noto Sans CJK SC" w:hAnsi="Noto Sans CJK SC" w:eastAsia="Noto Sans CJK SC"/>
                <w:b w:val="0"/>
                <w:color w:val="17252C"/>
                <w:sz w:val="20"/>
              </w:rPr>
              <w:t>0.148</w:t>
            </w:r>
          </w:p>
        </w:tc>
        <w:tc>
          <w:tcPr>
            <w:tcW w:type="dxa" w:w="1728"/>
            <w:vAlign w:val="center"/>
            <w:shd w:fill="F1F5F7"/>
          </w:tcPr>
          <w:p>
            <w:pPr>
              <w:spacing w:after="40" w:before="20" w:line="259" w:lineRule="auto"/>
              <w:jc w:val="left"/>
            </w:pPr>
            <w:r>
              <w:rPr>
                <w:rFonts w:ascii="Noto Sans CJK SC" w:hAnsi="Noto Sans CJK SC" w:eastAsia="Noto Sans CJK SC"/>
                <w:b w:val="0"/>
                <w:color w:val="17252C"/>
                <w:sz w:val="20"/>
              </w:rPr>
              <w:t>1.0</w:t>
            </w:r>
          </w:p>
        </w:tc>
        <w:tc>
          <w:tcPr>
            <w:tcW w:type="dxa" w:w="3413"/>
            <w:vAlign w:val="center"/>
            <w:shd w:fill="F1F5F7"/>
          </w:tcPr>
          <w:p>
            <w:pPr>
              <w:spacing w:after="40" w:before="20" w:line="259" w:lineRule="auto"/>
              <w:jc w:val="left"/>
            </w:pPr>
            <w:r>
              <w:rPr>
                <w:rFonts w:ascii="Noto Sans CJK SC" w:hAnsi="Noto Sans CJK SC" w:eastAsia="Noto Sans CJK SC"/>
                <w:b w:val="0"/>
                <w:color w:val="17252C"/>
                <w:sz w:val="20"/>
              </w:rPr>
              <w:t>0.165</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20"/>
              </w:rPr>
              <w:t>1.2</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0.185</w:t>
            </w:r>
          </w:p>
        </w:tc>
        <w:tc>
          <w:tcPr>
            <w:tcW w:type="dxa" w:w="1728"/>
            <w:vAlign w:val="center"/>
            <w:shd w:fill="FFFFFF"/>
          </w:tcPr>
          <w:p>
            <w:pPr>
              <w:spacing w:after="40" w:before="20" w:line="259" w:lineRule="auto"/>
              <w:jc w:val="left"/>
            </w:pPr>
            <w:r>
              <w:rPr>
                <w:rFonts w:ascii="Noto Sans CJK SC" w:hAnsi="Noto Sans CJK SC" w:eastAsia="Noto Sans CJK SC"/>
                <w:b w:val="0"/>
                <w:color w:val="17252C"/>
                <w:sz w:val="20"/>
              </w:rPr>
              <w:t>1.5</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0.205</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20"/>
              </w:rPr>
              <w:t>2.0</w:t>
            </w:r>
          </w:p>
        </w:tc>
        <w:tc>
          <w:tcPr>
            <w:tcW w:type="dxa" w:w="3413"/>
            <w:vAlign w:val="center"/>
            <w:shd w:fill="F1F5F7"/>
          </w:tcPr>
          <w:p>
            <w:pPr>
              <w:spacing w:after="40" w:before="20" w:line="259" w:lineRule="auto"/>
              <w:jc w:val="left"/>
            </w:pPr>
            <w:r>
              <w:rPr>
                <w:rFonts w:ascii="Noto Sans CJK SC" w:hAnsi="Noto Sans CJK SC" w:eastAsia="Noto Sans CJK SC"/>
                <w:b w:val="0"/>
                <w:color w:val="17252C"/>
                <w:sz w:val="20"/>
              </w:rPr>
              <w:t>0.235</w:t>
            </w:r>
          </w:p>
        </w:tc>
        <w:tc>
          <w:tcPr>
            <w:tcW w:type="dxa" w:w="1728"/>
            <w:vAlign w:val="center"/>
            <w:shd w:fill="F1F5F7"/>
          </w:tcPr>
          <w:p>
            <w:pPr>
              <w:spacing w:after="40" w:before="20" w:line="259" w:lineRule="auto"/>
              <w:jc w:val="left"/>
            </w:pPr>
            <w:r>
              <w:rPr>
                <w:rFonts w:ascii="Noto Sans CJK SC" w:hAnsi="Noto Sans CJK SC" w:eastAsia="Noto Sans CJK SC"/>
                <w:b w:val="0"/>
                <w:color w:val="17252C"/>
                <w:sz w:val="20"/>
              </w:rPr>
              <w:t>2.5</w:t>
            </w:r>
          </w:p>
        </w:tc>
        <w:tc>
          <w:tcPr>
            <w:tcW w:type="dxa" w:w="3413"/>
            <w:vAlign w:val="center"/>
            <w:shd w:fill="F1F5F7"/>
          </w:tcPr>
          <w:p>
            <w:pPr>
              <w:spacing w:after="40" w:before="20" w:line="259" w:lineRule="auto"/>
              <w:jc w:val="left"/>
            </w:pPr>
            <w:r>
              <w:rPr>
                <w:rFonts w:ascii="Noto Sans CJK SC" w:hAnsi="Noto Sans CJK SC" w:eastAsia="Noto Sans CJK SC"/>
                <w:b w:val="0"/>
                <w:color w:val="17252C"/>
                <w:sz w:val="20"/>
              </w:rPr>
              <w:t>0.260</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20"/>
              </w:rPr>
              <w:t>3.0</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0.285</w:t>
            </w:r>
          </w:p>
        </w:tc>
        <w:tc>
          <w:tcPr>
            <w:tcW w:type="dxa" w:w="1728"/>
            <w:vAlign w:val="center"/>
            <w:shd w:fill="FFFFFF"/>
          </w:tcPr>
          <w:p>
            <w:pPr>
              <w:spacing w:after="40" w:before="20" w:line="259" w:lineRule="auto"/>
              <w:jc w:val="left"/>
            </w:pPr>
            <w:r>
              <w:rPr>
                <w:rFonts w:ascii="Noto Sans CJK SC" w:hAnsi="Noto Sans CJK SC" w:eastAsia="Noto Sans CJK SC"/>
                <w:b w:val="0"/>
                <w:color w:val="17252C"/>
                <w:sz w:val="20"/>
              </w:rPr>
              <w:t>4.0</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0.330</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20"/>
              </w:rPr>
              <w:t>5.0</w:t>
            </w:r>
          </w:p>
        </w:tc>
        <w:tc>
          <w:tcPr>
            <w:tcW w:type="dxa" w:w="3413"/>
            <w:vAlign w:val="center"/>
            <w:shd w:fill="F1F5F7"/>
          </w:tcPr>
          <w:p>
            <w:pPr>
              <w:spacing w:after="40" w:before="20" w:line="259" w:lineRule="auto"/>
              <w:jc w:val="left"/>
            </w:pPr>
            <w:r>
              <w:rPr>
                <w:rFonts w:ascii="Noto Sans CJK SC" w:hAnsi="Noto Sans CJK SC" w:eastAsia="Noto Sans CJK SC"/>
                <w:b w:val="0"/>
                <w:color w:val="17252C"/>
                <w:sz w:val="20"/>
              </w:rPr>
              <w:t>0.370</w:t>
            </w:r>
          </w:p>
        </w:tc>
        <w:tc>
          <w:tcPr>
            <w:tcW w:type="dxa" w:w="1728"/>
            <w:vAlign w:val="center"/>
            <w:shd w:fill="F1F5F7"/>
          </w:tcPr>
          <w:p>
            <w:pPr>
              <w:spacing w:after="40" w:before="20" w:line="259" w:lineRule="auto"/>
              <w:jc w:val="left"/>
            </w:pPr>
            <w:r>
              <w:rPr>
                <w:rFonts w:ascii="Noto Sans CJK SC" w:hAnsi="Noto Sans CJK SC" w:eastAsia="Noto Sans CJK SC"/>
                <w:b w:val="0"/>
                <w:color w:val="17252C"/>
                <w:sz w:val="20"/>
              </w:rPr>
              <w:t>6.0</w:t>
            </w:r>
          </w:p>
        </w:tc>
        <w:tc>
          <w:tcPr>
            <w:tcW w:type="dxa" w:w="3413"/>
            <w:vAlign w:val="center"/>
            <w:shd w:fill="F1F5F7"/>
          </w:tcPr>
          <w:p>
            <w:pPr>
              <w:spacing w:after="40" w:before="20" w:line="259" w:lineRule="auto"/>
              <w:jc w:val="left"/>
            </w:pPr>
            <w:r>
              <w:rPr>
                <w:rFonts w:ascii="Noto Sans CJK SC" w:hAnsi="Noto Sans CJK SC" w:eastAsia="Noto Sans CJK SC"/>
                <w:b w:val="0"/>
                <w:color w:val="17252C"/>
                <w:sz w:val="20"/>
              </w:rPr>
              <w:t>0.405</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20"/>
              </w:rPr>
              <w:t>8.0</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0.470</w:t>
            </w:r>
          </w:p>
        </w:tc>
        <w:tc>
          <w:tcPr>
            <w:tcW w:type="dxa" w:w="1728"/>
            <w:vAlign w:val="center"/>
            <w:shd w:fill="FFFFFF"/>
          </w:tcPr>
          <w:p>
            <w:pPr>
              <w:spacing w:after="40" w:before="20" w:line="259" w:lineRule="auto"/>
              <w:jc w:val="left"/>
            </w:pPr>
            <w:r>
              <w:rPr>
                <w:rFonts w:ascii="Noto Sans CJK SC" w:hAnsi="Noto Sans CJK SC" w:eastAsia="Noto Sans CJK SC"/>
                <w:b w:val="0"/>
                <w:color w:val="17252C"/>
                <w:sz w:val="20"/>
              </w:rPr>
              <w:t>10.0</w:t>
            </w:r>
          </w:p>
        </w:tc>
        <w:tc>
          <w:tcPr>
            <w:tcW w:type="dxa" w:w="3413"/>
            <w:vAlign w:val="center"/>
            <w:shd w:fill="FFFFFF"/>
          </w:tcPr>
          <w:p>
            <w:pPr>
              <w:spacing w:after="40" w:before="20" w:line="259" w:lineRule="auto"/>
              <w:jc w:val="left"/>
            </w:pPr>
            <w:r>
              <w:rPr>
                <w:rFonts w:ascii="Noto Sans CJK SC" w:hAnsi="Noto Sans CJK SC" w:eastAsia="Noto Sans CJK SC"/>
                <w:b w:val="0"/>
                <w:color w:val="17252C"/>
                <w:sz w:val="20"/>
              </w:rPr>
              <w:t>0.520</w:t>
            </w:r>
          </w:p>
        </w:tc>
      </w:tr>
    </w:tbl>
    <w:p>
      <w:pPr>
        <w:spacing w:after="0"/>
      </w:pPr>
      <w:r>
        <w:rPr>
          <w:sz w:val="6"/>
        </w:rPr>
      </w:r>
    </w:p>
    <w:p>
      <w:r>
        <w:rPr>
          <w:sz w:val="19"/>
        </w:rPr>
        <w:t>线径表据JAFTMA单丝标准。[S04] 同号不同品牌、结法、老化及磨损会改变强度。PE号数不能按本表直接替换；不同钩型的号数也不能一对一换算。</w:t>
      </w:r>
    </w:p>
    <w:p>
      <w:pPr>
        <w:pStyle w:val="Heading2"/>
      </w:pPr>
      <w:r>
        <w:t>选择表格上下限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2880"/>
        <w:gridCol w:w="7402"/>
      </w:tblGrid>
      <w:tr>
        <w:trPr>
          <w:tblHeader/>
          <w:cantSplit/>
        </w:trPr>
        <w:tc>
          <w:tcPr>
            <w:tcW w:type="dxa" w:w="2880"/>
            <w:vAlign w:val="center"/>
            <w:shd w:fill="16394D"/>
          </w:tcPr>
          <w:p>
            <w:pPr>
              <w:spacing w:after="40" w:before="20" w:line="259" w:lineRule="auto"/>
              <w:jc w:val="center"/>
            </w:pPr>
            <w:r>
              <w:rPr>
                <w:rFonts w:ascii="Noto Sans CJK SC" w:hAnsi="Noto Sans CJK SC" w:eastAsia="Noto Sans CJK SC"/>
                <w:b/>
                <w:color w:val="FFFFFF"/>
                <w:sz w:val="20"/>
              </w:rPr>
              <w:t>条件</w:t>
            </w:r>
          </w:p>
        </w:tc>
        <w:tc>
          <w:tcPr>
            <w:tcW w:type="dxa" w:w="7402"/>
            <w:vAlign w:val="center"/>
            <w:shd w:fill="16394D"/>
          </w:tcPr>
          <w:p>
            <w:pPr>
              <w:spacing w:after="40" w:before="20" w:line="259" w:lineRule="auto"/>
              <w:jc w:val="left"/>
            </w:pPr>
            <w:r>
              <w:rPr>
                <w:rFonts w:ascii="Noto Sans CJK SC" w:hAnsi="Noto Sans CJK SC" w:eastAsia="Noto Sans CJK SC"/>
                <w:b/>
                <w:color w:val="FFFFFF"/>
                <w:sz w:val="20"/>
              </w:rPr>
              <w:t>装备选择</w:t>
            </w:r>
          </w:p>
        </w:tc>
      </w:tr>
      <w:tr>
        <w:trPr>
          <w:cantSplit/>
        </w:trPr>
        <w:tc>
          <w:tcPr>
            <w:tcW w:type="dxa" w:w="2880"/>
            <w:vAlign w:val="center"/>
            <w:shd w:fill="FFFFFF"/>
          </w:tcPr>
          <w:p>
            <w:pPr>
              <w:spacing w:after="40" w:before="20" w:line="259" w:lineRule="auto"/>
              <w:jc w:val="center"/>
            </w:pPr>
            <w:r>
              <w:rPr>
                <w:rFonts w:ascii="Noto Sans CJK SC" w:hAnsi="Noto Sans CJK SC" w:eastAsia="Noto Sans CJK SC"/>
                <w:b w:val="0"/>
                <w:color w:val="17252C"/>
                <w:sz w:val="20"/>
              </w:rPr>
              <w:t>开阔 静水 正常遛鱼</w:t>
            </w:r>
          </w:p>
        </w:tc>
        <w:tc>
          <w:tcPr>
            <w:tcW w:type="dxa" w:w="7402"/>
            <w:vAlign w:val="center"/>
            <w:shd w:fill="FFFFFF"/>
          </w:tcPr>
          <w:p>
            <w:pPr>
              <w:spacing w:after="40" w:before="20" w:line="259" w:lineRule="auto"/>
              <w:jc w:val="left"/>
            </w:pPr>
            <w:r>
              <w:rPr>
                <w:rFonts w:ascii="Noto Sans CJK SC" w:hAnsi="Noto Sans CJK SC" w:eastAsia="Noto Sans CJK SC"/>
                <w:b w:val="0"/>
                <w:color w:val="17252C"/>
                <w:sz w:val="20"/>
              </w:rPr>
              <w:t>先从基础档中部开始，低端配置须确认湿态结强和控鱼余量</w:t>
            </w:r>
          </w:p>
        </w:tc>
      </w:tr>
      <w:tr>
        <w:trPr>
          <w:cantSplit/>
        </w:trPr>
        <w:tc>
          <w:tcPr>
            <w:tcW w:type="dxa" w:w="2880"/>
            <w:vAlign w:val="center"/>
            <w:shd w:fill="F1F5F7"/>
          </w:tcPr>
          <w:p>
            <w:pPr>
              <w:spacing w:after="40" w:before="20" w:line="259" w:lineRule="auto"/>
              <w:jc w:val="center"/>
            </w:pPr>
            <w:r>
              <w:rPr>
                <w:rFonts w:ascii="Noto Sans CJK SC" w:hAnsi="Noto Sans CJK SC" w:eastAsia="Noto Sans CJK SC"/>
                <w:b w:val="0"/>
                <w:color w:val="17252C"/>
                <w:sz w:val="20"/>
              </w:rPr>
              <w:t>高密度连续正口 硬竿 快回鱼</w:t>
            </w:r>
          </w:p>
        </w:tc>
        <w:tc>
          <w:tcPr>
            <w:tcW w:type="dxa" w:w="7402"/>
            <w:vAlign w:val="center"/>
            <w:shd w:fill="F1F5F7"/>
          </w:tcPr>
          <w:p>
            <w:pPr>
              <w:spacing w:after="40" w:before="20" w:line="259" w:lineRule="auto"/>
              <w:jc w:val="left"/>
            </w:pPr>
            <w:r>
              <w:rPr>
                <w:rFonts w:ascii="Noto Sans CJK SC" w:hAnsi="Noto Sans CJK SC" w:eastAsia="Noto Sans CJK SC"/>
                <w:b w:val="0"/>
                <w:color w:val="17252C"/>
                <w:sz w:val="20"/>
              </w:rPr>
              <w:t>选择本档上端；增加强度不等于允许飞鱼或拔河</w:t>
            </w:r>
          </w:p>
        </w:tc>
      </w:tr>
      <w:tr>
        <w:trPr>
          <w:cantSplit/>
        </w:trPr>
        <w:tc>
          <w:tcPr>
            <w:tcW w:type="dxa" w:w="2880"/>
            <w:vAlign w:val="center"/>
            <w:shd w:fill="FFFFFF"/>
          </w:tcPr>
          <w:p>
            <w:pPr>
              <w:spacing w:after="40" w:before="20" w:line="259" w:lineRule="auto"/>
              <w:jc w:val="center"/>
            </w:pPr>
            <w:r>
              <w:rPr>
                <w:rFonts w:ascii="Noto Sans CJK SC" w:hAnsi="Noto Sans CJK SC" w:eastAsia="Noto Sans CJK SC"/>
                <w:b w:val="0"/>
                <w:color w:val="17252C"/>
                <w:sz w:val="20"/>
              </w:rPr>
              <w:t>障碍与磨线 混养较大鱼</w:t>
            </w:r>
          </w:p>
        </w:tc>
        <w:tc>
          <w:tcPr>
            <w:tcW w:type="dxa" w:w="7402"/>
            <w:vAlign w:val="center"/>
            <w:shd w:fill="FFFFFF"/>
          </w:tcPr>
          <w:p>
            <w:pPr>
              <w:spacing w:after="40" w:before="20" w:line="259" w:lineRule="auto"/>
              <w:jc w:val="left"/>
            </w:pPr>
            <w:r>
              <w:rPr>
                <w:rFonts w:ascii="Noto Sans CJK SC" w:hAnsi="Noto Sans CJK SC" w:eastAsia="Noto Sans CJK SC"/>
                <w:b w:val="0"/>
                <w:color w:val="17252C"/>
                <w:sz w:val="20"/>
              </w:rPr>
              <w:t>按较可能遇到的大鱼保留强度；优先单钩与可控出鱼通道</w:t>
            </w:r>
          </w:p>
        </w:tc>
      </w:tr>
      <w:tr>
        <w:trPr>
          <w:cantSplit/>
        </w:trPr>
        <w:tc>
          <w:tcPr>
            <w:tcW w:type="dxa" w:w="2880"/>
            <w:vAlign w:val="center"/>
            <w:shd w:fill="F1F5F7"/>
          </w:tcPr>
          <w:p>
            <w:pPr>
              <w:spacing w:after="40" w:before="20" w:line="259" w:lineRule="auto"/>
              <w:jc w:val="center"/>
            </w:pPr>
            <w:r>
              <w:rPr>
                <w:rFonts w:ascii="Noto Sans CJK SC" w:hAnsi="Noto Sans CJK SC" w:eastAsia="Noto Sans CJK SC"/>
                <w:b w:val="0"/>
                <w:color w:val="17252C"/>
                <w:sz w:val="20"/>
              </w:rPr>
              <w:t>轻口或滑口</w:t>
            </w:r>
          </w:p>
        </w:tc>
        <w:tc>
          <w:tcPr>
            <w:tcW w:type="dxa" w:w="7402"/>
            <w:vAlign w:val="center"/>
            <w:shd w:fill="F1F5F7"/>
          </w:tcPr>
          <w:p>
            <w:pPr>
              <w:spacing w:after="40" w:before="20" w:line="259" w:lineRule="auto"/>
              <w:jc w:val="left"/>
            </w:pPr>
            <w:r>
              <w:rPr>
                <w:rFonts w:ascii="Noto Sans CJK SC" w:hAnsi="Noto Sans CJK SC" w:eastAsia="Noto Sans CJK SC"/>
                <w:b w:val="0"/>
                <w:color w:val="17252C"/>
                <w:sz w:val="20"/>
              </w:rPr>
              <w:t>先缩软饵和修正呈现；有余量时才细一档子线</w:t>
            </w:r>
          </w:p>
        </w:tc>
      </w:tr>
      <w:tr>
        <w:trPr>
          <w:cantSplit/>
        </w:trPr>
        <w:tc>
          <w:tcPr>
            <w:tcW w:type="dxa" w:w="2880"/>
            <w:vAlign w:val="center"/>
            <w:shd w:fill="FFFFFF"/>
          </w:tcPr>
          <w:p>
            <w:pPr>
              <w:spacing w:after="40" w:before="20" w:line="259" w:lineRule="auto"/>
              <w:jc w:val="center"/>
            </w:pPr>
            <w:r>
              <w:rPr>
                <w:rFonts w:ascii="Noto Sans CJK SC" w:hAnsi="Noto Sans CJK SC" w:eastAsia="Noto Sans CJK SC"/>
                <w:b w:val="0"/>
                <w:color w:val="17252C"/>
                <w:sz w:val="20"/>
              </w:rPr>
              <w:t>巨物与远距离</w:t>
            </w:r>
          </w:p>
        </w:tc>
        <w:tc>
          <w:tcPr>
            <w:tcW w:type="dxa" w:w="7402"/>
            <w:vAlign w:val="center"/>
            <w:shd w:fill="FFFFFF"/>
          </w:tcPr>
          <w:p>
            <w:pPr>
              <w:spacing w:after="40" w:before="20" w:line="259" w:lineRule="auto"/>
              <w:jc w:val="left"/>
            </w:pPr>
            <w:r>
              <w:rPr>
                <w:rFonts w:ascii="Noto Sans CJK SC" w:hAnsi="Noto Sans CJK SC" w:eastAsia="Noto Sans CJK SC"/>
                <w:b w:val="0"/>
                <w:color w:val="17252C"/>
                <w:sz w:val="20"/>
              </w:rPr>
              <w:t>同时核对竿轮负荷 线容量 连接件和抄鱼条件；带轮泄力受整套最弱点限制</w:t>
            </w:r>
          </w:p>
        </w:tc>
      </w:tr>
    </w:tbl>
    <w:p>
      <w:pPr>
        <w:spacing w:after="0"/>
      </w:pPr>
      <w:r>
        <w:rPr>
          <w:sz w:val="6"/>
        </w:rPr>
      </w:r>
    </w:p>
    <w:p>
      <w:r>
        <w:rPr>
          <w:b/>
        </w:rPr>
        <w:t>带轮装备：</w:t>
      </w:r>
      <w:r>
        <w:t>初始泄力可参考最弱湿态结强的约1/4至1/3，同时服从竿、轮、钩和连接件允许负荷。绝不把竿长、H值、调性、测试曲线或标称净钓重直接当作可钓鱼重。操作参考见SHIMANO Playing Fish。</w:t>
      </w:r>
    </w:p>
    <w:p>
      <w:pPr>
        <w:pStyle w:val="Heading1"/>
        <w:pageBreakBefore/>
      </w:pPr>
      <w:r>
        <w:t>浮漂与钓法的实际状态</w:t>
      </w:r>
    </w:p>
    <w:p>
      <w:r>
        <w:t>浮漂吃铅量用于初选，不是承载整团饵的保证。换漂、换饵重或改变水深后，带实际钩饵重新校准。先确认触底、离底和子线受力，再讨论调目与钓目；同样调四钓二在不同漂钩饵下不代表同一状态。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296"/>
        <w:gridCol w:w="2304"/>
        <w:gridCol w:w="3744"/>
        <w:gridCol w:w="2938"/>
      </w:tblGrid>
      <w:tr>
        <w:trPr>
          <w:tblHeader/>
          <w:cantSplit/>
        </w:trPr>
        <w:tc>
          <w:tcPr>
            <w:tcW w:type="dxa" w:w="1296"/>
            <w:vAlign w:val="center"/>
            <w:shd w:fill="16394D"/>
          </w:tcPr>
          <w:p>
            <w:pPr>
              <w:spacing w:after="40" w:before="20" w:line="259" w:lineRule="auto"/>
              <w:jc w:val="center"/>
            </w:pPr>
            <w:r>
              <w:rPr>
                <w:rFonts w:ascii="Noto Sans CJK SC" w:hAnsi="Noto Sans CJK SC" w:eastAsia="Noto Sans CJK SC"/>
                <w:b/>
                <w:color w:val="FFFFFF"/>
                <w:sz w:val="19"/>
              </w:rPr>
              <w:t>钓法</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优先适用</w:t>
            </w:r>
          </w:p>
        </w:tc>
        <w:tc>
          <w:tcPr>
            <w:tcW w:type="dxa" w:w="3744"/>
            <w:vAlign w:val="center"/>
            <w:shd w:fill="16394D"/>
          </w:tcPr>
          <w:p>
            <w:pPr>
              <w:spacing w:after="40" w:before="20" w:line="259" w:lineRule="auto"/>
              <w:jc w:val="left"/>
            </w:pPr>
            <w:r>
              <w:rPr>
                <w:rFonts w:ascii="Noto Sans CJK SC" w:hAnsi="Noto Sans CJK SC" w:eastAsia="Noto Sans CJK SC"/>
                <w:b/>
                <w:color w:val="FFFFFF"/>
                <w:sz w:val="19"/>
              </w:rPr>
              <w:t>操作起点</w:t>
            </w:r>
          </w:p>
        </w:tc>
        <w:tc>
          <w:tcPr>
            <w:tcW w:type="dxa" w:w="2938"/>
            <w:vAlign w:val="center"/>
            <w:shd w:fill="16394D"/>
          </w:tcPr>
          <w:p>
            <w:pPr>
              <w:spacing w:after="40" w:before="20" w:line="259" w:lineRule="auto"/>
              <w:jc w:val="left"/>
            </w:pPr>
            <w:r>
              <w:rPr>
                <w:rFonts w:ascii="Noto Sans CJK SC" w:hAnsi="Noto Sans CJK SC" w:eastAsia="Noto Sans CJK SC"/>
                <w:b/>
                <w:color w:val="FFFFFF"/>
                <w:sz w:val="19"/>
              </w:rPr>
              <w:t>失效边界</w:t>
            </w:r>
          </w:p>
        </w:tc>
      </w:tr>
      <w:tr>
        <w:trPr>
          <w:cantSplit/>
        </w:trPr>
        <w:tc>
          <w:tcPr>
            <w:tcW w:type="dxa" w:w="1296"/>
            <w:vAlign w:val="center"/>
            <w:shd w:fill="FFFFFF"/>
          </w:tcPr>
          <w:p>
            <w:pPr>
              <w:spacing w:after="40" w:before="20" w:line="259" w:lineRule="auto"/>
              <w:jc w:val="center"/>
            </w:pPr>
            <w:r>
              <w:rPr>
                <w:rFonts w:ascii="Noto Sans CJK SC" w:hAnsi="Noto Sans CJK SC" w:eastAsia="Noto Sans CJK SC"/>
                <w:b w:val="0"/>
                <w:color w:val="17252C"/>
                <w:sz w:val="19"/>
              </w:rPr>
              <w:t>轻触底</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鲤鲫青与部分草罗的起始候选</w:t>
            </w:r>
          </w:p>
        </w:tc>
        <w:tc>
          <w:tcPr>
            <w:tcW w:type="dxa" w:w="3744"/>
            <w:vAlign w:val="center"/>
            <w:shd w:fill="FFFFFF"/>
          </w:tcPr>
          <w:p>
            <w:pPr>
              <w:spacing w:after="40" w:before="20" w:line="259" w:lineRule="auto"/>
              <w:jc w:val="left"/>
            </w:pPr>
            <w:r>
              <w:rPr>
                <w:rFonts w:ascii="Noto Sans CJK SC" w:hAnsi="Noto Sans CJK SC" w:eastAsia="Noto Sans CJK SC"/>
                <w:b w:val="0"/>
                <w:color w:val="17252C"/>
                <w:sz w:val="19"/>
              </w:rPr>
              <w:t>先找真实泥面，称钩重和饵重；带饵确认钩饵接触情况</w:t>
            </w:r>
          </w:p>
        </w:tc>
        <w:tc>
          <w:tcPr>
            <w:tcW w:type="dxa" w:w="2938"/>
            <w:vAlign w:val="center"/>
            <w:shd w:fill="FFFFFF"/>
          </w:tcPr>
          <w:p>
            <w:pPr>
              <w:spacing w:after="40" w:before="20" w:line="259" w:lineRule="auto"/>
              <w:jc w:val="left"/>
            </w:pPr>
            <w:r>
              <w:rPr>
                <w:rFonts w:ascii="Noto Sans CJK SC" w:hAnsi="Noto Sans CJK SC" w:eastAsia="Noto Sans CJK SC"/>
                <w:b w:val="0"/>
                <w:color w:val="17252C"/>
                <w:sz w:val="19"/>
              </w:rPr>
              <w:t>只凭调目钓目无法保证状态</w:t>
            </w:r>
          </w:p>
        </w:tc>
      </w:tr>
      <w:tr>
        <w:trPr>
          <w:cantSplit/>
        </w:trPr>
        <w:tc>
          <w:tcPr>
            <w:tcW w:type="dxa" w:w="1296"/>
            <w:vAlign w:val="center"/>
            <w:shd w:fill="F1F5F7"/>
          </w:tcPr>
          <w:p>
            <w:pPr>
              <w:spacing w:after="40" w:before="20" w:line="259" w:lineRule="auto"/>
              <w:jc w:val="center"/>
            </w:pPr>
            <w:r>
              <w:rPr>
                <w:rFonts w:ascii="Noto Sans CJK SC" w:hAnsi="Noto Sans CJK SC" w:eastAsia="Noto Sans CJK SC"/>
                <w:b w:val="0"/>
                <w:color w:val="17252C"/>
                <w:sz w:val="19"/>
              </w:rPr>
              <w:t>离底与浮钓</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陷泥验证及草鱼鲢鳙等水层搜索</w:t>
            </w:r>
          </w:p>
        </w:tc>
        <w:tc>
          <w:tcPr>
            <w:tcW w:type="dxa" w:w="3744"/>
            <w:vAlign w:val="center"/>
            <w:shd w:fill="F1F5F7"/>
          </w:tcPr>
          <w:p>
            <w:pPr>
              <w:spacing w:after="40" w:before="20" w:line="259" w:lineRule="auto"/>
              <w:jc w:val="left"/>
            </w:pPr>
            <w:r>
              <w:rPr>
                <w:rFonts w:ascii="Noto Sans CJK SC" w:hAnsi="Noto Sans CJK SC" w:eastAsia="Noto Sans CJK SC"/>
                <w:b w:val="0"/>
                <w:color w:val="17252C"/>
                <w:sz w:val="19"/>
              </w:rPr>
              <w:t>从有活动证据的层位起，每轮只调整深度；记录正口层</w:t>
            </w:r>
          </w:p>
        </w:tc>
        <w:tc>
          <w:tcPr>
            <w:tcW w:type="dxa" w:w="2938"/>
            <w:vAlign w:val="center"/>
            <w:shd w:fill="F1F5F7"/>
          </w:tcPr>
          <w:p>
            <w:pPr>
              <w:spacing w:after="40" w:before="20" w:line="259" w:lineRule="auto"/>
              <w:jc w:val="left"/>
            </w:pPr>
            <w:r>
              <w:rPr>
                <w:rFonts w:ascii="Noto Sans CJK SC" w:hAnsi="Noto Sans CJK SC" w:eastAsia="Noto Sans CJK SC"/>
                <w:b w:val="0"/>
                <w:color w:val="17252C"/>
                <w:sz w:val="19"/>
              </w:rPr>
              <w:t>离底几厘米不能保证进入高溶氧层</w:t>
            </w:r>
          </w:p>
        </w:tc>
      </w:tr>
      <w:tr>
        <w:trPr>
          <w:cantSplit/>
        </w:trPr>
        <w:tc>
          <w:tcPr>
            <w:tcW w:type="dxa" w:w="1296"/>
            <w:vAlign w:val="center"/>
            <w:shd w:fill="FFFFFF"/>
          </w:tcPr>
          <w:p>
            <w:pPr>
              <w:spacing w:after="40" w:before="20" w:line="259" w:lineRule="auto"/>
              <w:jc w:val="center"/>
            </w:pPr>
            <w:r>
              <w:rPr>
                <w:rFonts w:ascii="Noto Sans CJK SC" w:hAnsi="Noto Sans CJK SC" w:eastAsia="Noto Sans CJK SC"/>
                <w:b w:val="0"/>
                <w:color w:val="17252C"/>
                <w:sz w:val="19"/>
              </w:rPr>
              <w:t>跑铅与滑铅</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走水且目标鱼在近底</w:t>
            </w:r>
          </w:p>
        </w:tc>
        <w:tc>
          <w:tcPr>
            <w:tcW w:type="dxa" w:w="3744"/>
            <w:vAlign w:val="center"/>
            <w:shd w:fill="FFFFFF"/>
          </w:tcPr>
          <w:p>
            <w:pPr>
              <w:spacing w:after="40" w:before="20" w:line="259" w:lineRule="auto"/>
              <w:jc w:val="left"/>
            </w:pPr>
            <w:r>
              <w:rPr>
                <w:rFonts w:ascii="Noto Sans CJK SC" w:hAnsi="Noto Sans CJK SC" w:eastAsia="Noto Sans CJK SC"/>
                <w:b w:val="0"/>
                <w:color w:val="17252C"/>
                <w:sz w:val="19"/>
              </w:rPr>
              <w:t>铅能稳定又可让主线滑动；减短子线，单钩优先</w:t>
            </w:r>
          </w:p>
        </w:tc>
        <w:tc>
          <w:tcPr>
            <w:tcW w:type="dxa" w:w="2938"/>
            <w:vAlign w:val="center"/>
            <w:shd w:fill="FFFFFF"/>
          </w:tcPr>
          <w:p>
            <w:pPr>
              <w:spacing w:after="40" w:before="20" w:line="259" w:lineRule="auto"/>
              <w:jc w:val="left"/>
            </w:pPr>
            <w:r>
              <w:rPr>
                <w:rFonts w:ascii="Noto Sans CJK SC" w:hAnsi="Noto Sans CJK SC" w:eastAsia="Noto Sans CJK SC"/>
                <w:b w:val="0"/>
                <w:color w:val="17252C"/>
                <w:sz w:val="19"/>
              </w:rPr>
              <w:t>过重铅会掩盖弱口，泥底易陷铅</w:t>
            </w:r>
          </w:p>
        </w:tc>
      </w:tr>
      <w:tr>
        <w:trPr>
          <w:cantSplit/>
        </w:trPr>
        <w:tc>
          <w:tcPr>
            <w:tcW w:type="dxa" w:w="1296"/>
            <w:vAlign w:val="center"/>
            <w:shd w:fill="F1F5F7"/>
          </w:tcPr>
          <w:p>
            <w:pPr>
              <w:spacing w:after="40" w:before="20" w:line="259" w:lineRule="auto"/>
              <w:jc w:val="center"/>
            </w:pPr>
            <w:r>
              <w:rPr>
                <w:rFonts w:ascii="Noto Sans CJK SC" w:hAnsi="Noto Sans CJK SC" w:eastAsia="Noto Sans CJK SC"/>
                <w:b w:val="0"/>
                <w:color w:val="17252C"/>
                <w:sz w:val="19"/>
              </w:rPr>
              <w:t>长竿短线</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鲫鱼草边或窄窗口</w:t>
            </w:r>
          </w:p>
        </w:tc>
        <w:tc>
          <w:tcPr>
            <w:tcW w:type="dxa" w:w="3744"/>
            <w:vAlign w:val="center"/>
            <w:shd w:fill="F1F5F7"/>
          </w:tcPr>
          <w:p>
            <w:pPr>
              <w:spacing w:after="40" w:before="20" w:line="259" w:lineRule="auto"/>
              <w:jc w:val="left"/>
            </w:pPr>
            <w:r>
              <w:rPr>
                <w:rFonts w:ascii="Noto Sans CJK SC" w:hAnsi="Noto Sans CJK SC" w:eastAsia="Noto Sans CJK SC"/>
                <w:b w:val="0"/>
                <w:color w:val="17252C"/>
                <w:sz w:val="19"/>
              </w:rPr>
              <w:t>匹配能准确送饵的竿长和线长，单钩减少挂草</w:t>
            </w:r>
          </w:p>
        </w:tc>
        <w:tc>
          <w:tcPr>
            <w:tcW w:type="dxa" w:w="2938"/>
            <w:vAlign w:val="center"/>
            <w:shd w:fill="F1F5F7"/>
          </w:tcPr>
          <w:p>
            <w:pPr>
              <w:spacing w:after="40" w:before="20" w:line="259" w:lineRule="auto"/>
              <w:jc w:val="left"/>
            </w:pPr>
            <w:r>
              <w:rPr>
                <w:rFonts w:ascii="Noto Sans CJK SC" w:hAnsi="Noto Sans CJK SC" w:eastAsia="Noto Sans CJK SC"/>
                <w:b w:val="0"/>
                <w:color w:val="17252C"/>
                <w:sz w:val="19"/>
              </w:rPr>
              <w:t>草洞有大鱼或无法抄鱼时需先换位</w:t>
            </w:r>
          </w:p>
        </w:tc>
      </w:tr>
      <w:tr>
        <w:trPr>
          <w:cantSplit/>
        </w:trPr>
        <w:tc>
          <w:tcPr>
            <w:tcW w:type="dxa" w:w="1296"/>
            <w:vAlign w:val="center"/>
            <w:shd w:fill="FFFFFF"/>
          </w:tcPr>
          <w:p>
            <w:pPr>
              <w:spacing w:after="40" w:before="20" w:line="259" w:lineRule="auto"/>
              <w:jc w:val="center"/>
            </w:pPr>
            <w:r>
              <w:rPr>
                <w:rFonts w:ascii="Noto Sans CJK SC" w:hAnsi="Noto Sans CJK SC" w:eastAsia="Noto Sans CJK SC"/>
                <w:b w:val="0"/>
                <w:color w:val="17252C"/>
                <w:sz w:val="19"/>
              </w:rPr>
              <w:t>带轮滑漂</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水深超过手竿常规可控深度或需要放线</w:t>
            </w:r>
          </w:p>
        </w:tc>
        <w:tc>
          <w:tcPr>
            <w:tcW w:type="dxa" w:w="3744"/>
            <w:vAlign w:val="center"/>
            <w:shd w:fill="FFFFFF"/>
          </w:tcPr>
          <w:p>
            <w:pPr>
              <w:spacing w:after="40" w:before="20" w:line="259" w:lineRule="auto"/>
              <w:jc w:val="left"/>
            </w:pPr>
            <w:r>
              <w:rPr>
                <w:rFonts w:ascii="Noto Sans CJK SC" w:hAnsi="Noto Sans CJK SC" w:eastAsia="Noto Sans CJK SC"/>
                <w:b w:val="0"/>
                <w:color w:val="17252C"/>
                <w:sz w:val="19"/>
              </w:rPr>
              <w:t>止线结控层，漂铅与抛投负荷匹配，测试泄力</w:t>
            </w:r>
          </w:p>
        </w:tc>
        <w:tc>
          <w:tcPr>
            <w:tcW w:type="dxa" w:w="2938"/>
            <w:vAlign w:val="center"/>
            <w:shd w:fill="FFFFFF"/>
          </w:tcPr>
          <w:p>
            <w:pPr>
              <w:spacing w:after="40" w:before="20" w:line="259" w:lineRule="auto"/>
              <w:jc w:val="left"/>
            </w:pPr>
            <w:r>
              <w:rPr>
                <w:rFonts w:ascii="Noto Sans CJK SC" w:hAnsi="Noto Sans CJK SC" w:eastAsia="Noto Sans CJK SC"/>
                <w:b w:val="0"/>
                <w:color w:val="17252C"/>
                <w:sz w:val="19"/>
              </w:rPr>
              <w:t>不可直接把手竿吃铅值套作远投配重</w:t>
            </w:r>
          </w:p>
        </w:tc>
      </w:tr>
      <w:tr>
        <w:trPr>
          <w:cantSplit/>
        </w:trPr>
        <w:tc>
          <w:tcPr>
            <w:tcW w:type="dxa" w:w="1296"/>
            <w:vAlign w:val="center"/>
            <w:shd w:fill="F1F5F7"/>
          </w:tcPr>
          <w:p>
            <w:pPr>
              <w:spacing w:after="40" w:before="20" w:line="259" w:lineRule="auto"/>
              <w:jc w:val="center"/>
            </w:pPr>
            <w:r>
              <w:rPr>
                <w:rFonts w:ascii="Noto Sans CJK SC" w:hAnsi="Noto Sans CJK SC" w:eastAsia="Noto Sans CJK SC"/>
                <w:b w:val="0"/>
                <w:color w:val="17252C"/>
                <w:sz w:val="19"/>
              </w:rPr>
              <w:t>带轮单钩守底</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青鱼巨物或较远底钓</w:t>
            </w:r>
          </w:p>
        </w:tc>
        <w:tc>
          <w:tcPr>
            <w:tcW w:type="dxa" w:w="3744"/>
            <w:vAlign w:val="center"/>
            <w:shd w:fill="F1F5F7"/>
          </w:tcPr>
          <w:p>
            <w:pPr>
              <w:spacing w:after="40" w:before="20" w:line="259" w:lineRule="auto"/>
              <w:jc w:val="left"/>
            </w:pPr>
            <w:r>
              <w:rPr>
                <w:rFonts w:ascii="Noto Sans CJK SC" w:hAnsi="Noto Sans CJK SC" w:eastAsia="Noto Sans CJK SC"/>
                <w:b w:val="0"/>
                <w:color w:val="17252C"/>
                <w:sz w:val="19"/>
              </w:rPr>
              <w:t>竿轮线钩一体匹配，测湿态结强，预设可控泄力</w:t>
            </w:r>
          </w:p>
        </w:tc>
        <w:tc>
          <w:tcPr>
            <w:tcW w:type="dxa" w:w="2938"/>
            <w:vAlign w:val="center"/>
            <w:shd w:fill="F1F5F7"/>
          </w:tcPr>
          <w:p>
            <w:pPr>
              <w:spacing w:after="40" w:before="20" w:line="259" w:lineRule="auto"/>
              <w:jc w:val="left"/>
            </w:pPr>
            <w:r>
              <w:rPr>
                <w:rFonts w:ascii="Noto Sans CJK SC" w:hAnsi="Noto Sans CJK SC" w:eastAsia="Noto Sans CJK SC"/>
                <w:b w:val="0"/>
                <w:color w:val="17252C"/>
                <w:sz w:val="19"/>
              </w:rPr>
              <w:t>竿的测试曲线磅数不是可吊鱼重量</w:t>
            </w:r>
          </w:p>
        </w:tc>
      </w:tr>
    </w:tbl>
    <w:p>
      <w:pPr>
        <w:spacing w:after="0"/>
      </w:pPr>
      <w:r>
        <w:rPr>
          <w:sz w:val="6"/>
        </w:rPr>
      </w:r>
    </w:p>
    <w:p>
      <w:pPr>
        <w:pStyle w:val="Heading2"/>
      </w:pPr>
      <w:r>
        <w:t>开饵先做水中检查</w:t>
      </w:r>
    </w:p>
    <w:p>
      <w:r>
        <w:t>取与实际挂钩同样大小的一团饵，在透明容器或近岸可见水中看下沉、散落和残留。底钓软饵要能到达目标层并留芯；鲢鳙饵要在目标层持续释放微粒。杯测便于比较，但现场水深与流动仍会改变结果。</w:t>
      </w:r>
    </w:p>
    <w:p>
      <w:r>
        <w:t>挂饵不塞死钩门。子线表中的长度为单支长度；双钩差是上下两钩的高度差。单钩钓时保留长短范围中的合适值，不再输出双钩差。</w:t>
      </w:r>
    </w:p>
    <w:p>
      <w:pPr>
        <w:pStyle w:val="Heading1"/>
        <w:pageBreakBefore/>
      </w:pPr>
      <w:r>
        <w:t>环境变化的搭配调整 上</w:t>
      </w:r>
    </w:p>
    <w:p>
      <w:r>
        <w:t>下面的规则叠加到鱼种基础表。表中温度描述以实测水温及变化为准；现场发生冲突时，规则限制、鱼体异常、装备承载和可控呈现优先。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2520"/>
        <w:gridCol w:w="2376"/>
        <w:gridCol w:w="3874"/>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19"/>
              </w:rPr>
              <w:t>现场条件</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线组或装备</w:t>
            </w:r>
          </w:p>
        </w:tc>
        <w:tc>
          <w:tcPr>
            <w:tcW w:type="dxa" w:w="2376"/>
            <w:vAlign w:val="center"/>
            <w:shd w:fill="16394D"/>
          </w:tcPr>
          <w:p>
            <w:pPr>
              <w:spacing w:after="40" w:before="20" w:line="259" w:lineRule="auto"/>
              <w:jc w:val="left"/>
            </w:pPr>
            <w:r>
              <w:rPr>
                <w:rFonts w:ascii="Noto Sans CJK SC" w:hAnsi="Noto Sans CJK SC" w:eastAsia="Noto Sans CJK SC"/>
                <w:b/>
                <w:color w:val="FFFFFF"/>
                <w:sz w:val="19"/>
              </w:rPr>
              <w:t>饵料与投量</w:t>
            </w:r>
          </w:p>
        </w:tc>
        <w:tc>
          <w:tcPr>
            <w:tcW w:type="dxa" w:w="3874"/>
            <w:vAlign w:val="center"/>
            <w:shd w:fill="16394D"/>
          </w:tcPr>
          <w:p>
            <w:pPr>
              <w:spacing w:after="40" w:before="20" w:line="259" w:lineRule="auto"/>
              <w:jc w:val="left"/>
            </w:pPr>
            <w:r>
              <w:rPr>
                <w:rFonts w:ascii="Noto Sans CJK SC" w:hAnsi="Noto Sans CJK SC" w:eastAsia="Noto Sans CJK SC"/>
                <w:b/>
                <w:color w:val="FFFFFF"/>
                <w:sz w:val="19"/>
              </w:rPr>
              <w:t>钓法与调整条件</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19"/>
              </w:rPr>
              <w:t>水质正常且鱼活动正常</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采用鱼种体重表中档起配；无障碍不必过粗</w:t>
            </w:r>
          </w:p>
        </w:tc>
        <w:tc>
          <w:tcPr>
            <w:tcW w:type="dxa" w:w="2376"/>
            <w:vAlign w:val="center"/>
            <w:shd w:fill="FFFFFF"/>
          </w:tcPr>
          <w:p>
            <w:pPr>
              <w:spacing w:after="40" w:before="20" w:line="259" w:lineRule="auto"/>
              <w:jc w:val="left"/>
            </w:pPr>
            <w:r>
              <w:rPr>
                <w:rFonts w:ascii="Noto Sans CJK SC" w:hAnsi="Noto Sans CJK SC" w:eastAsia="Noto Sans CJK SC"/>
                <w:b w:val="0"/>
                <w:color w:val="17252C"/>
                <w:sz w:val="19"/>
              </w:rPr>
              <w:t>按原有摄食习惯选基础饵；先小量验证</w:t>
            </w:r>
          </w:p>
        </w:tc>
        <w:tc>
          <w:tcPr>
            <w:tcW w:type="dxa" w:w="3874"/>
            <w:vAlign w:val="center"/>
            <w:shd w:fill="FFFFFF"/>
          </w:tcPr>
          <w:p>
            <w:pPr>
              <w:spacing w:after="40" w:before="20" w:line="259" w:lineRule="auto"/>
              <w:jc w:val="left"/>
            </w:pPr>
            <w:r>
              <w:rPr>
                <w:rFonts w:ascii="Noto Sans CJK SC" w:hAnsi="Noto Sans CJK SC" w:eastAsia="Noto Sans CJK SC"/>
                <w:b w:val="0"/>
                <w:color w:val="17252C"/>
                <w:sz w:val="19"/>
              </w:rPr>
              <w:t>从目标鱼常见水层起钓，以正口确认</w:t>
              <w:br/>
              <w:t>调整条件：同层连续正口则保持；仅蹭线则查实际饵位</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19"/>
              </w:rPr>
              <w:t>肥水偏绿但未见异常</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先测或比较表中底层，不能仅凭水色减线</w:t>
            </w:r>
          </w:p>
        </w:tc>
        <w:tc>
          <w:tcPr>
            <w:tcW w:type="dxa" w:w="2376"/>
            <w:vAlign w:val="center"/>
            <w:shd w:fill="F1F5F7"/>
          </w:tcPr>
          <w:p>
            <w:pPr>
              <w:spacing w:after="40" w:before="20" w:line="259" w:lineRule="auto"/>
              <w:jc w:val="left"/>
            </w:pPr>
            <w:r>
              <w:rPr>
                <w:rFonts w:ascii="Noto Sans CJK SC" w:hAnsi="Noto Sans CJK SC" w:eastAsia="Noto Sans CJK SC"/>
                <w:b w:val="0"/>
                <w:color w:val="17252C"/>
                <w:sz w:val="19"/>
              </w:rPr>
              <w:t>小量开饵；清淡与常用味型可对照，均不预设胜出</w:t>
            </w:r>
          </w:p>
        </w:tc>
        <w:tc>
          <w:tcPr>
            <w:tcW w:type="dxa" w:w="3874"/>
            <w:vAlign w:val="center"/>
            <w:shd w:fill="F1F5F7"/>
          </w:tcPr>
          <w:p>
            <w:pPr>
              <w:spacing w:after="40" w:before="20" w:line="259" w:lineRule="auto"/>
              <w:jc w:val="left"/>
            </w:pPr>
            <w:r>
              <w:rPr>
                <w:rFonts w:ascii="Noto Sans CJK SC" w:hAnsi="Noto Sans CJK SC" w:eastAsia="Noto Sans CJK SC"/>
                <w:b w:val="0"/>
                <w:color w:val="17252C"/>
                <w:sz w:val="19"/>
              </w:rPr>
              <w:t>比对增氧影响区与静水区的鱼活动；黎明不自动视为好窗口</w:t>
              <w:br/>
              <w:t>调整条件：出现浮头或近底低氧，切换环境排查分支</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19"/>
              </w:rPr>
              <w:t>淤泥臭底或钩饵裹泥</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轻负重找泥面；轻触底与离底5至10厘米比较</w:t>
            </w:r>
          </w:p>
        </w:tc>
        <w:tc>
          <w:tcPr>
            <w:tcW w:type="dxa" w:w="2376"/>
            <w:vAlign w:val="center"/>
            <w:shd w:fill="FFFFFF"/>
          </w:tcPr>
          <w:p>
            <w:pPr>
              <w:spacing w:after="40" w:before="20" w:line="259" w:lineRule="auto"/>
              <w:jc w:val="left"/>
            </w:pPr>
            <w:r>
              <w:rPr>
                <w:rFonts w:ascii="Noto Sans CJK SC" w:hAnsi="Noto Sans CJK SC" w:eastAsia="Noto Sans CJK SC"/>
                <w:b w:val="0"/>
                <w:color w:val="17252C"/>
                <w:sz w:val="19"/>
              </w:rPr>
              <w:t>降低饵团下沉负担，保证到层后仍有附钩残留</w:t>
            </w:r>
          </w:p>
        </w:tc>
        <w:tc>
          <w:tcPr>
            <w:tcW w:type="dxa" w:w="3874"/>
            <w:vAlign w:val="center"/>
            <w:shd w:fill="FFFFFF"/>
          </w:tcPr>
          <w:p>
            <w:pPr>
              <w:spacing w:after="40" w:before="20" w:line="259" w:lineRule="auto"/>
              <w:jc w:val="left"/>
            </w:pPr>
            <w:r>
              <w:rPr>
                <w:rFonts w:ascii="Noto Sans CJK SC" w:hAnsi="Noto Sans CJK SC" w:eastAsia="Noto Sans CJK SC"/>
                <w:b w:val="0"/>
                <w:color w:val="17252C"/>
                <w:sz w:val="19"/>
              </w:rPr>
              <w:t>先排除陷泥；必要时找更干净底质</w:t>
              <w:br/>
              <w:t>调整条件：离底未改善且鱼整体异常，应换水层或换位而非持续加药</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19"/>
              </w:rPr>
              <w:t>疑似缺氧或集中浮头</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暂停按常态输出抢鱼和极细线方案</w:t>
            </w:r>
          </w:p>
        </w:tc>
        <w:tc>
          <w:tcPr>
            <w:tcW w:type="dxa" w:w="2376"/>
            <w:vAlign w:val="center"/>
            <w:shd w:fill="F1F5F7"/>
          </w:tcPr>
          <w:p>
            <w:pPr>
              <w:spacing w:after="40" w:before="20" w:line="259" w:lineRule="auto"/>
              <w:jc w:val="left"/>
            </w:pPr>
            <w:r>
              <w:rPr>
                <w:rFonts w:ascii="Noto Sans CJK SC" w:hAnsi="Noto Sans CJK SC" w:eastAsia="Noto Sans CJK SC"/>
                <w:b w:val="0"/>
                <w:color w:val="17252C"/>
                <w:sz w:val="19"/>
              </w:rPr>
              <w:t>暂缓打窝，避免连续加大投饵</w:t>
            </w:r>
          </w:p>
        </w:tc>
        <w:tc>
          <w:tcPr>
            <w:tcW w:type="dxa" w:w="3874"/>
            <w:vAlign w:val="center"/>
            <w:shd w:fill="F1F5F7"/>
          </w:tcPr>
          <w:p>
            <w:pPr>
              <w:spacing w:after="40" w:before="20" w:line="259" w:lineRule="auto"/>
              <w:jc w:val="left"/>
            </w:pPr>
            <w:r>
              <w:rPr>
                <w:rFonts w:ascii="Noto Sans CJK SC" w:hAnsi="Noto Sans CJK SC" w:eastAsia="Noto Sans CJK SC"/>
                <w:b w:val="0"/>
                <w:color w:val="17252C"/>
                <w:sz w:val="19"/>
              </w:rPr>
              <w:t>测钓层溶氧，比较有效增氧水域；异常持续则暂停作钓</w:t>
              <w:br/>
              <w:t>调整条件：鱼恢复正常活动且有正口后再恢复小量试钓</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19"/>
              </w:rPr>
              <w:t>透明度高且长期承受钓压</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保持足够强度，先减小多余配件和不自然牵扯</w:t>
            </w:r>
          </w:p>
        </w:tc>
        <w:tc>
          <w:tcPr>
            <w:tcW w:type="dxa" w:w="2376"/>
            <w:vAlign w:val="center"/>
            <w:shd w:fill="FFFFFF"/>
          </w:tcPr>
          <w:p>
            <w:pPr>
              <w:spacing w:after="40" w:before="20" w:line="259" w:lineRule="auto"/>
              <w:jc w:val="left"/>
            </w:pPr>
            <w:r>
              <w:rPr>
                <w:rFonts w:ascii="Noto Sans CJK SC" w:hAnsi="Noto Sans CJK SC" w:eastAsia="Noto Sans CJK SC"/>
                <w:b w:val="0"/>
                <w:color w:val="17252C"/>
                <w:sz w:val="19"/>
              </w:rPr>
              <w:t>较小、适口、自然的饵；保留一份基准饵</w:t>
            </w:r>
          </w:p>
        </w:tc>
        <w:tc>
          <w:tcPr>
            <w:tcW w:type="dxa" w:w="3874"/>
            <w:vAlign w:val="center"/>
            <w:shd w:fill="FFFFFF"/>
          </w:tcPr>
          <w:p>
            <w:pPr>
              <w:spacing w:after="40" w:before="20" w:line="259" w:lineRule="auto"/>
              <w:jc w:val="left"/>
            </w:pPr>
            <w:r>
              <w:rPr>
                <w:rFonts w:ascii="Noto Sans CJK SC" w:hAnsi="Noto Sans CJK SC" w:eastAsia="Noto Sans CJK SC"/>
                <w:b w:val="0"/>
                <w:color w:val="17252C"/>
                <w:sz w:val="19"/>
              </w:rPr>
              <w:t>减少入水扰动，试窝边或不同落点；每次只改一项</w:t>
              <w:br/>
              <w:t>调整条件：呈现调整反复改善正口后再决定是否减一档子线</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19"/>
              </w:rPr>
              <w:t>低温或近期明显降温</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按鱼种和体型在安全范围选较轻呈现</w:t>
            </w:r>
          </w:p>
        </w:tc>
        <w:tc>
          <w:tcPr>
            <w:tcW w:type="dxa" w:w="2376"/>
            <w:vAlign w:val="center"/>
            <w:shd w:fill="F1F5F7"/>
          </w:tcPr>
          <w:p>
            <w:pPr>
              <w:spacing w:after="40" w:before="20" w:line="259" w:lineRule="auto"/>
              <w:jc w:val="left"/>
            </w:pPr>
            <w:r>
              <w:rPr>
                <w:rFonts w:ascii="Noto Sans CJK SC" w:hAnsi="Noto Sans CJK SC" w:eastAsia="Noto Sans CJK SC"/>
                <w:b w:val="0"/>
                <w:color w:val="17252C"/>
                <w:sz w:val="19"/>
              </w:rPr>
              <w:t>小饵小窝，降低补窝频率；不能统一加腥</w:t>
            </w:r>
          </w:p>
        </w:tc>
        <w:tc>
          <w:tcPr>
            <w:tcW w:type="dxa" w:w="3874"/>
            <w:vAlign w:val="center"/>
            <w:shd w:fill="F1F5F7"/>
          </w:tcPr>
          <w:p>
            <w:pPr>
              <w:spacing w:after="40" w:before="20" w:line="259" w:lineRule="auto"/>
              <w:jc w:val="left"/>
            </w:pPr>
            <w:r>
              <w:rPr>
                <w:rFonts w:ascii="Noto Sans CJK SC" w:hAnsi="Noto Sans CJK SC" w:eastAsia="Noto Sans CJK SC"/>
                <w:b w:val="0"/>
                <w:color w:val="17252C"/>
                <w:sz w:val="19"/>
              </w:rPr>
              <w:t>寻找稳定水温和有活动的区域，延长观察</w:t>
              <w:br/>
              <w:t>调整条件：罗非等暖水鱼活动极弱时降低期待，避免强行大量诱食</w:t>
            </w:r>
          </w:p>
        </w:tc>
      </w:tr>
    </w:tbl>
    <w:p>
      <w:pPr>
        <w:spacing w:after="0"/>
      </w:pPr>
      <w:r>
        <w:rPr>
          <w:sz w:val="6"/>
        </w:rPr>
      </w:r>
    </w:p>
    <w:p>
      <w:pPr>
        <w:pStyle w:val="Heading1"/>
        <w:pageBreakBefore/>
      </w:pPr>
      <w:r>
        <w:t>环境变化的搭配调整 下</w:t>
      </w:r>
    </w:p>
    <w:p>
      <w:r>
        <w:t>下面的规则叠加到鱼种基础表。表中温度描述以实测水温及变化为准；现场发生冲突时，规则限制、鱼体异常、装备承载和可控呈现优先。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2520"/>
        <w:gridCol w:w="2376"/>
        <w:gridCol w:w="3874"/>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19"/>
              </w:rPr>
              <w:t>现场条件</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线组或装备</w:t>
            </w:r>
          </w:p>
        </w:tc>
        <w:tc>
          <w:tcPr>
            <w:tcW w:type="dxa" w:w="2376"/>
            <w:vAlign w:val="center"/>
            <w:shd w:fill="16394D"/>
          </w:tcPr>
          <w:p>
            <w:pPr>
              <w:spacing w:after="40" w:before="20" w:line="259" w:lineRule="auto"/>
              <w:jc w:val="left"/>
            </w:pPr>
            <w:r>
              <w:rPr>
                <w:rFonts w:ascii="Noto Sans CJK SC" w:hAnsi="Noto Sans CJK SC" w:eastAsia="Noto Sans CJK SC"/>
                <w:b/>
                <w:color w:val="FFFFFF"/>
                <w:sz w:val="19"/>
              </w:rPr>
              <w:t>饵料与投量</w:t>
            </w:r>
          </w:p>
        </w:tc>
        <w:tc>
          <w:tcPr>
            <w:tcW w:type="dxa" w:w="3874"/>
            <w:vAlign w:val="center"/>
            <w:shd w:fill="16394D"/>
          </w:tcPr>
          <w:p>
            <w:pPr>
              <w:spacing w:after="40" w:before="20" w:line="259" w:lineRule="auto"/>
              <w:jc w:val="left"/>
            </w:pPr>
            <w:r>
              <w:rPr>
                <w:rFonts w:ascii="Noto Sans CJK SC" w:hAnsi="Noto Sans CJK SC" w:eastAsia="Noto Sans CJK SC"/>
                <w:b/>
                <w:color w:val="FFFFFF"/>
                <w:sz w:val="19"/>
              </w:rPr>
              <w:t>钓法与调整条件</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19"/>
              </w:rPr>
              <w:t>高温强日照</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装备强度不因口少而自动降低</w:t>
            </w:r>
          </w:p>
        </w:tc>
        <w:tc>
          <w:tcPr>
            <w:tcW w:type="dxa" w:w="2376"/>
            <w:vAlign w:val="center"/>
            <w:shd w:fill="FFFFFF"/>
          </w:tcPr>
          <w:p>
            <w:pPr>
              <w:spacing w:after="40" w:before="20" w:line="259" w:lineRule="auto"/>
              <w:jc w:val="left"/>
            </w:pPr>
            <w:r>
              <w:rPr>
                <w:rFonts w:ascii="Noto Sans CJK SC" w:hAnsi="Noto Sans CJK SC" w:eastAsia="Noto Sans CJK SC"/>
                <w:b w:val="0"/>
                <w:color w:val="17252C"/>
                <w:sz w:val="19"/>
              </w:rPr>
              <w:t>少量分次；饵不久晒，状态稳定后再投</w:t>
            </w:r>
          </w:p>
        </w:tc>
        <w:tc>
          <w:tcPr>
            <w:tcW w:type="dxa" w:w="3874"/>
            <w:vAlign w:val="center"/>
            <w:shd w:fill="FFFFFF"/>
          </w:tcPr>
          <w:p>
            <w:pPr>
              <w:spacing w:after="40" w:before="20" w:line="259" w:lineRule="auto"/>
              <w:jc w:val="left"/>
            </w:pPr>
            <w:r>
              <w:rPr>
                <w:rFonts w:ascii="Noto Sans CJK SC" w:hAnsi="Noto Sans CJK SC" w:eastAsia="Noto Sans CJK SC"/>
                <w:b w:val="0"/>
                <w:color w:val="17252C"/>
                <w:sz w:val="19"/>
              </w:rPr>
              <w:t>比较阴影、水交换处及适宜水层；实际水温优先于气温</w:t>
              <w:br/>
              <w:t>调整条件：浮头时执行低氧分支，不能简单认定鱼一定在深水</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19"/>
              </w:rPr>
              <w:t>弱走水或风浪</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适当加大可稳定的漂与铅；缩短过长子线</w:t>
            </w:r>
          </w:p>
        </w:tc>
        <w:tc>
          <w:tcPr>
            <w:tcW w:type="dxa" w:w="2376"/>
            <w:vAlign w:val="center"/>
            <w:shd w:fill="F1F5F7"/>
          </w:tcPr>
          <w:p>
            <w:pPr>
              <w:spacing w:after="40" w:before="20" w:line="259" w:lineRule="auto"/>
              <w:jc w:val="left"/>
            </w:pPr>
            <w:r>
              <w:rPr>
                <w:rFonts w:ascii="Noto Sans CJK SC" w:hAnsi="Noto Sans CJK SC" w:eastAsia="Noto Sans CJK SC"/>
                <w:b w:val="0"/>
                <w:color w:val="17252C"/>
                <w:sz w:val="19"/>
              </w:rPr>
              <w:t>略增加附钩性，保证饵到达目标层</w:t>
            </w:r>
          </w:p>
        </w:tc>
        <w:tc>
          <w:tcPr>
            <w:tcW w:type="dxa" w:w="3874"/>
            <w:vAlign w:val="center"/>
            <w:shd w:fill="F1F5F7"/>
          </w:tcPr>
          <w:p>
            <w:pPr>
              <w:spacing w:after="40" w:before="20" w:line="259" w:lineRule="auto"/>
              <w:jc w:val="left"/>
            </w:pPr>
            <w:r>
              <w:rPr>
                <w:rFonts w:ascii="Noto Sans CJK SC" w:hAnsi="Noto Sans CJK SC" w:eastAsia="Noto Sans CJK SC"/>
                <w:b w:val="0"/>
                <w:color w:val="17252C"/>
                <w:sz w:val="19"/>
              </w:rPr>
              <w:t>先压水线与选稳位，再调漂；允许自然走漂时保持可控线路</w:t>
              <w:br/>
              <w:t>调整条件：漂持续被拖没且落点无法保持，切换跑铅或带轮方案</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19"/>
              </w:rPr>
              <w:t>明显流水</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鲤鲫等可用滑动铅或带轮单钩；铅以可控为准</w:t>
            </w:r>
          </w:p>
        </w:tc>
        <w:tc>
          <w:tcPr>
            <w:tcW w:type="dxa" w:w="2376"/>
            <w:vAlign w:val="center"/>
            <w:shd w:fill="FFFFFF"/>
          </w:tcPr>
          <w:p>
            <w:pPr>
              <w:spacing w:after="40" w:before="20" w:line="259" w:lineRule="auto"/>
              <w:jc w:val="left"/>
            </w:pPr>
            <w:r>
              <w:rPr>
                <w:rFonts w:ascii="Noto Sans CJK SC" w:hAnsi="Noto Sans CJK SC" w:eastAsia="Noto Sans CJK SC"/>
                <w:b w:val="0"/>
                <w:color w:val="17252C"/>
                <w:sz w:val="19"/>
              </w:rPr>
              <w:t>耐水冲的颗粒、玉米、蚯蚓等按鱼种和规则选择</w:t>
            </w:r>
          </w:p>
        </w:tc>
        <w:tc>
          <w:tcPr>
            <w:tcW w:type="dxa" w:w="3874"/>
            <w:vAlign w:val="center"/>
            <w:shd w:fill="FFFFFF"/>
          </w:tcPr>
          <w:p>
            <w:pPr>
              <w:spacing w:after="40" w:before="20" w:line="259" w:lineRule="auto"/>
              <w:jc w:val="left"/>
            </w:pPr>
            <w:r>
              <w:rPr>
                <w:rFonts w:ascii="Noto Sans CJK SC" w:hAnsi="Noto Sans CJK SC" w:eastAsia="Noto Sans CJK SC"/>
                <w:b w:val="0"/>
                <w:color w:val="17252C"/>
                <w:sz w:val="19"/>
              </w:rPr>
              <w:t>优先回水湾、流缓交界；鲢鳙粉饵悬浮法优先换缓流位</w:t>
              <w:br/>
              <w:t>调整条件：铅仍滚动或无法安全控线时换位，不无限增加配重</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19"/>
              </w:rPr>
              <w:t>小杂鱼密集</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按目标鱼保留钩线，不为小杂鱼过度缩钩</w:t>
            </w:r>
          </w:p>
        </w:tc>
        <w:tc>
          <w:tcPr>
            <w:tcW w:type="dxa" w:w="2376"/>
            <w:vAlign w:val="center"/>
            <w:shd w:fill="F1F5F7"/>
          </w:tcPr>
          <w:p>
            <w:pPr>
              <w:spacing w:after="40" w:before="20" w:line="259" w:lineRule="auto"/>
              <w:jc w:val="left"/>
            </w:pPr>
            <w:r>
              <w:rPr>
                <w:rFonts w:ascii="Noto Sans CJK SC" w:hAnsi="Noto Sans CJK SC" w:eastAsia="Noto Sans CJK SC"/>
                <w:b w:val="0"/>
                <w:color w:val="17252C"/>
                <w:sz w:val="19"/>
              </w:rPr>
              <w:t>减雾化、增加附钩；鲤草青可试颗粒或谷物，鲢鳙需保留可利用颗粒云</w:t>
            </w:r>
          </w:p>
        </w:tc>
        <w:tc>
          <w:tcPr>
            <w:tcW w:type="dxa" w:w="3874"/>
            <w:vAlign w:val="center"/>
            <w:shd w:fill="F1F5F7"/>
          </w:tcPr>
          <w:p>
            <w:pPr>
              <w:spacing w:after="40" w:before="20" w:line="259" w:lineRule="auto"/>
              <w:jc w:val="left"/>
            </w:pPr>
            <w:r>
              <w:rPr>
                <w:rFonts w:ascii="Noto Sans CJK SC" w:hAnsi="Noto Sans CJK SC" w:eastAsia="Noto Sans CJK SC"/>
                <w:b w:val="0"/>
                <w:color w:val="17252C"/>
                <w:sz w:val="19"/>
              </w:rPr>
              <w:t>让饵较快穿过杂鱼层；比较底部或边缘</w:t>
              <w:br/>
              <w:t>调整条件：目标鱼出现后逐步恢复适口性，避免越调越硬</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19"/>
              </w:rPr>
              <w:t>障碍物或磨线区</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主子线取更强配置，单钩减少缠挂；近障碍无法控鱼则换位</w:t>
            </w:r>
          </w:p>
        </w:tc>
        <w:tc>
          <w:tcPr>
            <w:tcW w:type="dxa" w:w="2376"/>
            <w:vAlign w:val="center"/>
            <w:shd w:fill="FFFFFF"/>
          </w:tcPr>
          <w:p>
            <w:pPr>
              <w:spacing w:after="40" w:before="20" w:line="259" w:lineRule="auto"/>
              <w:jc w:val="left"/>
            </w:pPr>
            <w:r>
              <w:rPr>
                <w:rFonts w:ascii="Noto Sans CJK SC" w:hAnsi="Noto Sans CJK SC" w:eastAsia="Noto Sans CJK SC"/>
                <w:b w:val="0"/>
                <w:color w:val="17252C"/>
                <w:sz w:val="19"/>
              </w:rPr>
              <w:t>优先能准确送达的饵，避免追求过远落点</w:t>
            </w:r>
          </w:p>
        </w:tc>
        <w:tc>
          <w:tcPr>
            <w:tcW w:type="dxa" w:w="3874"/>
            <w:vAlign w:val="center"/>
            <w:shd w:fill="FFFFFF"/>
          </w:tcPr>
          <w:p>
            <w:pPr>
              <w:spacing w:after="40" w:before="20" w:line="259" w:lineRule="auto"/>
              <w:jc w:val="left"/>
            </w:pPr>
            <w:r>
              <w:rPr>
                <w:rFonts w:ascii="Noto Sans CJK SC" w:hAnsi="Noto Sans CJK SC" w:eastAsia="Noto Sans CJK SC"/>
                <w:b w:val="0"/>
                <w:color w:val="17252C"/>
                <w:sz w:val="19"/>
              </w:rPr>
              <w:t>预留遛鱼通道，检查线伤；大鱼使用合适带轮装备</w:t>
              <w:br/>
              <w:t>调整条件：连续磨断或鱼入障碍，先变更位置与控鱼条件</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19"/>
              </w:rPr>
              <w:t>限竿限饵或禁止打窝</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服从钓场和当地规则，在允许范围选竿和钩数</w:t>
            </w:r>
          </w:p>
        </w:tc>
        <w:tc>
          <w:tcPr>
            <w:tcW w:type="dxa" w:w="2376"/>
            <w:vAlign w:val="center"/>
            <w:shd w:fill="F1F5F7"/>
          </w:tcPr>
          <w:p>
            <w:pPr>
              <w:spacing w:after="40" w:before="20" w:line="259" w:lineRule="auto"/>
              <w:jc w:val="left"/>
            </w:pPr>
            <w:r>
              <w:rPr>
                <w:rFonts w:ascii="Noto Sans CJK SC" w:hAnsi="Noto Sans CJK SC" w:eastAsia="Noto Sans CJK SC"/>
                <w:b w:val="0"/>
                <w:color w:val="17252C"/>
                <w:sz w:val="19"/>
              </w:rPr>
              <w:t>禁活饵则改合法颗粒、谷物或商品饵；禁打窝则仅钩饵</w:t>
            </w:r>
          </w:p>
        </w:tc>
        <w:tc>
          <w:tcPr>
            <w:tcW w:type="dxa" w:w="3874"/>
            <w:vAlign w:val="center"/>
            <w:shd w:fill="F1F5F7"/>
          </w:tcPr>
          <w:p>
            <w:pPr>
              <w:spacing w:after="40" w:before="20" w:line="259" w:lineRule="auto"/>
              <w:jc w:val="left"/>
            </w:pPr>
            <w:r>
              <w:rPr>
                <w:rFonts w:ascii="Noto Sans CJK SC" w:hAnsi="Noto Sans CJK SC" w:eastAsia="Noto Sans CJK SC"/>
                <w:b w:val="0"/>
                <w:color w:val="17252C"/>
                <w:sz w:val="19"/>
              </w:rPr>
              <w:t>增加准确搜鱼，避免用规则禁止的散炮或多钩替代</w:t>
              <w:br/>
              <w:t>调整条件：当前方案与规则冲突时，先输出替代方案再作钓</w:t>
            </w:r>
          </w:p>
        </w:tc>
      </w:tr>
    </w:tbl>
    <w:p>
      <w:pPr>
        <w:spacing w:after="0"/>
      </w:pPr>
      <w:r>
        <w:rPr>
          <w:sz w:val="6"/>
        </w:rPr>
      </w:r>
    </w:p>
    <w:p>
      <w:pPr>
        <w:pStyle w:val="Heading1"/>
        <w:pageBreakBefore/>
      </w:pPr>
      <w:r>
        <w:t>鱼讯诊断与调整顺序</w:t>
      </w:r>
    </w:p>
    <w:p>
      <w:r>
        <w:t>正口、空竿、身体外挂、脱钩和断线分别记录。正口指与正常摄食相符的嘴内或唇缘中钩；身体外挂不能当作饵料诱食成功。漂动本身不能证明鱼已吞入饵料。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728"/>
        <w:gridCol w:w="2160"/>
        <w:gridCol w:w="3888"/>
        <w:gridCol w:w="2506"/>
      </w:tblGrid>
      <w:tr>
        <w:trPr>
          <w:tblHeader/>
          <w:cantSplit/>
        </w:trPr>
        <w:tc>
          <w:tcPr>
            <w:tcW w:type="dxa" w:w="1728"/>
            <w:vAlign w:val="center"/>
            <w:shd w:fill="16394D"/>
          </w:tcPr>
          <w:p>
            <w:pPr>
              <w:spacing w:after="40" w:before="20" w:line="259" w:lineRule="auto"/>
              <w:jc w:val="center"/>
            </w:pPr>
            <w:r>
              <w:rPr>
                <w:rFonts w:ascii="Noto Sans CJK SC" w:hAnsi="Noto Sans CJK SC" w:eastAsia="Noto Sans CJK SC"/>
                <w:b/>
                <w:color w:val="FFFFFF"/>
                <w:sz w:val="19"/>
              </w:rPr>
              <w:t>现场表现</w:t>
            </w:r>
          </w:p>
        </w:tc>
        <w:tc>
          <w:tcPr>
            <w:tcW w:type="dxa" w:w="2160"/>
            <w:vAlign w:val="center"/>
            <w:shd w:fill="16394D"/>
          </w:tcPr>
          <w:p>
            <w:pPr>
              <w:spacing w:after="40" w:before="20" w:line="259" w:lineRule="auto"/>
              <w:jc w:val="left"/>
            </w:pPr>
            <w:r>
              <w:rPr>
                <w:rFonts w:ascii="Noto Sans CJK SC" w:hAnsi="Noto Sans CJK SC" w:eastAsia="Noto Sans CJK SC"/>
                <w:b/>
                <w:color w:val="FFFFFF"/>
                <w:sz w:val="19"/>
              </w:rPr>
              <w:t>优先检查</w:t>
            </w:r>
          </w:p>
        </w:tc>
        <w:tc>
          <w:tcPr>
            <w:tcW w:type="dxa" w:w="3888"/>
            <w:vAlign w:val="center"/>
            <w:shd w:fill="16394D"/>
          </w:tcPr>
          <w:p>
            <w:pPr>
              <w:spacing w:after="40" w:before="20" w:line="259" w:lineRule="auto"/>
              <w:jc w:val="left"/>
            </w:pPr>
            <w:r>
              <w:rPr>
                <w:rFonts w:ascii="Noto Sans CJK SC" w:hAnsi="Noto Sans CJK SC" w:eastAsia="Noto Sans CJK SC"/>
                <w:b/>
                <w:color w:val="FFFFFF"/>
                <w:sz w:val="19"/>
              </w:rPr>
              <w:t>下一步</w:t>
            </w:r>
          </w:p>
        </w:tc>
        <w:tc>
          <w:tcPr>
            <w:tcW w:type="dxa" w:w="2506"/>
            <w:vAlign w:val="center"/>
            <w:shd w:fill="16394D"/>
          </w:tcPr>
          <w:p>
            <w:pPr>
              <w:spacing w:after="40" w:before="20" w:line="259" w:lineRule="auto"/>
              <w:jc w:val="left"/>
            </w:pPr>
            <w:r>
              <w:rPr>
                <w:rFonts w:ascii="Noto Sans CJK SC" w:hAnsi="Noto Sans CJK SC" w:eastAsia="Noto Sans CJK SC"/>
                <w:b/>
                <w:color w:val="FFFFFF"/>
                <w:sz w:val="19"/>
              </w:rPr>
              <w:t>避免误判</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19"/>
              </w:rPr>
              <w:t>全塘同时少口</w:t>
            </w:r>
          </w:p>
        </w:tc>
        <w:tc>
          <w:tcPr>
            <w:tcW w:type="dxa" w:w="2160"/>
            <w:vAlign w:val="center"/>
            <w:shd w:fill="FFFFFF"/>
          </w:tcPr>
          <w:p>
            <w:pPr>
              <w:spacing w:after="40" w:before="20" w:line="259" w:lineRule="auto"/>
              <w:jc w:val="left"/>
            </w:pPr>
            <w:r>
              <w:rPr>
                <w:rFonts w:ascii="Noto Sans CJK SC" w:hAnsi="Noto Sans CJK SC" w:eastAsia="Noto Sans CJK SC"/>
                <w:b w:val="0"/>
                <w:color w:val="17252C"/>
                <w:sz w:val="19"/>
              </w:rPr>
              <w:t>共同水环境或近期管理变化</w:t>
            </w:r>
          </w:p>
        </w:tc>
        <w:tc>
          <w:tcPr>
            <w:tcW w:type="dxa" w:w="3888"/>
            <w:vAlign w:val="center"/>
            <w:shd w:fill="FFFFFF"/>
          </w:tcPr>
          <w:p>
            <w:pPr>
              <w:spacing w:after="40" w:before="20" w:line="259" w:lineRule="auto"/>
              <w:jc w:val="left"/>
            </w:pPr>
            <w:r>
              <w:rPr>
                <w:rFonts w:ascii="Noto Sans CJK SC" w:hAnsi="Noto Sans CJK SC" w:eastAsia="Noto Sans CJK SC"/>
                <w:b w:val="0"/>
                <w:color w:val="17252C"/>
                <w:sz w:val="19"/>
              </w:rPr>
              <w:t>查增氧、投喂、放鱼时间，测近底水温与溶氧</w:t>
            </w:r>
          </w:p>
        </w:tc>
        <w:tc>
          <w:tcPr>
            <w:tcW w:type="dxa" w:w="2506"/>
            <w:vAlign w:val="center"/>
            <w:shd w:fill="FFFFFF"/>
          </w:tcPr>
          <w:p>
            <w:pPr>
              <w:spacing w:after="40" w:before="20" w:line="259" w:lineRule="auto"/>
              <w:jc w:val="left"/>
            </w:pPr>
            <w:r>
              <w:rPr>
                <w:rFonts w:ascii="Noto Sans CJK SC" w:hAnsi="Noto Sans CJK SC" w:eastAsia="Noto Sans CJK SC"/>
                <w:b w:val="0"/>
                <w:color w:val="17252C"/>
                <w:sz w:val="19"/>
              </w:rPr>
              <w:t>不立刻给所有人统一加药</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19"/>
              </w:rPr>
              <w:t>邻位同种鱼持续正口</w:t>
            </w:r>
          </w:p>
        </w:tc>
        <w:tc>
          <w:tcPr>
            <w:tcW w:type="dxa" w:w="2160"/>
            <w:vAlign w:val="center"/>
            <w:shd w:fill="F1F5F7"/>
          </w:tcPr>
          <w:p>
            <w:pPr>
              <w:spacing w:after="40" w:before="20" w:line="259" w:lineRule="auto"/>
              <w:jc w:val="left"/>
            </w:pPr>
            <w:r>
              <w:rPr>
                <w:rFonts w:ascii="Noto Sans CJK SC" w:hAnsi="Noto Sans CJK SC" w:eastAsia="Noto Sans CJK SC"/>
                <w:b w:val="0"/>
                <w:color w:val="17252C"/>
                <w:sz w:val="19"/>
              </w:rPr>
              <w:t>位置水层或局部呈现差异</w:t>
            </w:r>
          </w:p>
        </w:tc>
        <w:tc>
          <w:tcPr>
            <w:tcW w:type="dxa" w:w="3888"/>
            <w:vAlign w:val="center"/>
            <w:shd w:fill="F1F5F7"/>
          </w:tcPr>
          <w:p>
            <w:pPr>
              <w:spacing w:after="40" w:before="20" w:line="259" w:lineRule="auto"/>
              <w:jc w:val="left"/>
            </w:pPr>
            <w:r>
              <w:rPr>
                <w:rFonts w:ascii="Noto Sans CJK SC" w:hAnsi="Noto Sans CJK SC" w:eastAsia="Noto Sans CJK SC"/>
                <w:b w:val="0"/>
                <w:color w:val="17252C"/>
                <w:sz w:val="19"/>
              </w:rPr>
              <w:t>核实落点、真实底深和钩饵状态，再对照饵料</w:t>
            </w:r>
          </w:p>
        </w:tc>
        <w:tc>
          <w:tcPr>
            <w:tcW w:type="dxa" w:w="2506"/>
            <w:vAlign w:val="center"/>
            <w:shd w:fill="F1F5F7"/>
          </w:tcPr>
          <w:p>
            <w:pPr>
              <w:spacing w:after="40" w:before="20" w:line="259" w:lineRule="auto"/>
              <w:jc w:val="left"/>
            </w:pPr>
            <w:r>
              <w:rPr>
                <w:rFonts w:ascii="Noto Sans CJK SC" w:hAnsi="Noto Sans CJK SC" w:eastAsia="Noto Sans CJK SC"/>
                <w:b w:val="0"/>
                <w:color w:val="17252C"/>
                <w:sz w:val="19"/>
              </w:rPr>
              <w:t>不以单个气压值解释自己的窝点</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19"/>
              </w:rPr>
              <w:t>有漂动但空竿多</w:t>
            </w:r>
          </w:p>
        </w:tc>
        <w:tc>
          <w:tcPr>
            <w:tcW w:type="dxa" w:w="2160"/>
            <w:vAlign w:val="center"/>
            <w:shd w:fill="FFFFFF"/>
          </w:tcPr>
          <w:p>
            <w:pPr>
              <w:spacing w:after="40" w:before="20" w:line="259" w:lineRule="auto"/>
              <w:jc w:val="left"/>
            </w:pPr>
            <w:r>
              <w:rPr>
                <w:rFonts w:ascii="Noto Sans CJK SC" w:hAnsi="Noto Sans CJK SC" w:eastAsia="Noto Sans CJK SC"/>
                <w:b w:val="0"/>
                <w:color w:val="17252C"/>
                <w:sz w:val="19"/>
              </w:rPr>
              <w:t>蹭线、饵未到位、钩饵不匹配或扬竿依据不当</w:t>
            </w:r>
          </w:p>
        </w:tc>
        <w:tc>
          <w:tcPr>
            <w:tcW w:type="dxa" w:w="3888"/>
            <w:vAlign w:val="center"/>
            <w:shd w:fill="FFFFFF"/>
          </w:tcPr>
          <w:p>
            <w:pPr>
              <w:spacing w:after="40" w:before="20" w:line="259" w:lineRule="auto"/>
              <w:jc w:val="left"/>
            </w:pPr>
            <w:r>
              <w:rPr>
                <w:rFonts w:ascii="Noto Sans CJK SC" w:hAnsi="Noto Sans CJK SC" w:eastAsia="Noto Sans CJK SC"/>
                <w:b w:val="0"/>
                <w:color w:val="17252C"/>
                <w:sz w:val="19"/>
              </w:rPr>
              <w:t>检查残饵、鱼层和钩尖；延后或筛选扬竿信号</w:t>
            </w:r>
          </w:p>
        </w:tc>
        <w:tc>
          <w:tcPr>
            <w:tcW w:type="dxa" w:w="2506"/>
            <w:vAlign w:val="center"/>
            <w:shd w:fill="FFFFFF"/>
          </w:tcPr>
          <w:p>
            <w:pPr>
              <w:spacing w:after="40" w:before="20" w:line="259" w:lineRule="auto"/>
              <w:jc w:val="left"/>
            </w:pPr>
            <w:r>
              <w:rPr>
                <w:rFonts w:ascii="Noto Sans CJK SC" w:hAnsi="Noto Sans CJK SC" w:eastAsia="Noto Sans CJK SC"/>
                <w:b w:val="0"/>
                <w:color w:val="17252C"/>
                <w:sz w:val="19"/>
              </w:rPr>
              <w:t>不把所有漂动都叫吃口</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19"/>
              </w:rPr>
              <w:t>锚中或挂鳞较多</w:t>
            </w:r>
          </w:p>
        </w:tc>
        <w:tc>
          <w:tcPr>
            <w:tcW w:type="dxa" w:w="2160"/>
            <w:vAlign w:val="center"/>
            <w:shd w:fill="F1F5F7"/>
          </w:tcPr>
          <w:p>
            <w:pPr>
              <w:spacing w:after="40" w:before="20" w:line="259" w:lineRule="auto"/>
              <w:jc w:val="left"/>
            </w:pPr>
            <w:r>
              <w:rPr>
                <w:rFonts w:ascii="Noto Sans CJK SC" w:hAnsi="Noto Sans CJK SC" w:eastAsia="Noto Sans CJK SC"/>
                <w:b w:val="0"/>
                <w:color w:val="17252C"/>
                <w:sz w:val="19"/>
              </w:rPr>
              <w:t>线组穿过鱼层但摄食证据不足</w:t>
            </w:r>
          </w:p>
        </w:tc>
        <w:tc>
          <w:tcPr>
            <w:tcW w:type="dxa" w:w="3888"/>
            <w:vAlign w:val="center"/>
            <w:shd w:fill="F1F5F7"/>
          </w:tcPr>
          <w:p>
            <w:pPr>
              <w:spacing w:after="40" w:before="20" w:line="259" w:lineRule="auto"/>
              <w:jc w:val="left"/>
            </w:pPr>
            <w:r>
              <w:rPr>
                <w:rFonts w:ascii="Noto Sans CJK SC" w:hAnsi="Noto Sans CJK SC" w:eastAsia="Noto Sans CJK SC"/>
                <w:b w:val="0"/>
                <w:color w:val="17252C"/>
                <w:sz w:val="19"/>
              </w:rPr>
              <w:t>降低无依据扬竿，调整层位与落点</w:t>
            </w:r>
          </w:p>
        </w:tc>
        <w:tc>
          <w:tcPr>
            <w:tcW w:type="dxa" w:w="2506"/>
            <w:vAlign w:val="center"/>
            <w:shd w:fill="F1F5F7"/>
          </w:tcPr>
          <w:p>
            <w:pPr>
              <w:spacing w:after="40" w:before="20" w:line="259" w:lineRule="auto"/>
              <w:jc w:val="left"/>
            </w:pPr>
            <w:r>
              <w:rPr>
                <w:rFonts w:ascii="Noto Sans CJK SC" w:hAnsi="Noto Sans CJK SC" w:eastAsia="Noto Sans CJK SC"/>
                <w:b w:val="0"/>
                <w:color w:val="17252C"/>
                <w:sz w:val="19"/>
              </w:rPr>
              <w:t>不以锚中作为诱食效果</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19"/>
              </w:rPr>
              <w:t>连续正口但脱钩</w:t>
            </w:r>
          </w:p>
        </w:tc>
        <w:tc>
          <w:tcPr>
            <w:tcW w:type="dxa" w:w="2160"/>
            <w:vAlign w:val="center"/>
            <w:shd w:fill="FFFFFF"/>
          </w:tcPr>
          <w:p>
            <w:pPr>
              <w:spacing w:after="40" w:before="20" w:line="259" w:lineRule="auto"/>
              <w:jc w:val="left"/>
            </w:pPr>
            <w:r>
              <w:rPr>
                <w:rFonts w:ascii="Noto Sans CJK SC" w:hAnsi="Noto Sans CJK SC" w:eastAsia="Noto Sans CJK SC"/>
                <w:b w:val="0"/>
                <w:color w:val="17252C"/>
                <w:sz w:val="19"/>
              </w:rPr>
              <w:t>钩尖、钩型、刺鱼和遛鱼问题</w:t>
            </w:r>
          </w:p>
        </w:tc>
        <w:tc>
          <w:tcPr>
            <w:tcW w:type="dxa" w:w="3888"/>
            <w:vAlign w:val="center"/>
            <w:shd w:fill="FFFFFF"/>
          </w:tcPr>
          <w:p>
            <w:pPr>
              <w:spacing w:after="40" w:before="20" w:line="259" w:lineRule="auto"/>
              <w:jc w:val="left"/>
            </w:pPr>
            <w:r>
              <w:rPr>
                <w:rFonts w:ascii="Noto Sans CJK SC" w:hAnsi="Noto Sans CJK SC" w:eastAsia="Noto Sans CJK SC"/>
                <w:b w:val="0"/>
                <w:color w:val="17252C"/>
                <w:sz w:val="19"/>
              </w:rPr>
              <w:t>检查钩尖，缓和过猛扬竿；确认饵不堵钩门</w:t>
            </w:r>
          </w:p>
        </w:tc>
        <w:tc>
          <w:tcPr>
            <w:tcW w:type="dxa" w:w="2506"/>
            <w:vAlign w:val="center"/>
            <w:shd w:fill="FFFFFF"/>
          </w:tcPr>
          <w:p>
            <w:pPr>
              <w:spacing w:after="40" w:before="20" w:line="259" w:lineRule="auto"/>
              <w:jc w:val="left"/>
            </w:pPr>
            <w:r>
              <w:rPr>
                <w:rFonts w:ascii="Noto Sans CJK SC" w:hAnsi="Noto Sans CJK SC" w:eastAsia="Noto Sans CJK SC"/>
                <w:b w:val="0"/>
                <w:color w:val="17252C"/>
                <w:sz w:val="19"/>
              </w:rPr>
              <w:t>不先换味型</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19"/>
              </w:rPr>
              <w:t>连续断子线或磨断</w:t>
            </w:r>
          </w:p>
        </w:tc>
        <w:tc>
          <w:tcPr>
            <w:tcW w:type="dxa" w:w="2160"/>
            <w:vAlign w:val="center"/>
            <w:shd w:fill="F1F5F7"/>
          </w:tcPr>
          <w:p>
            <w:pPr>
              <w:spacing w:after="40" w:before="20" w:line="259" w:lineRule="auto"/>
              <w:jc w:val="left"/>
            </w:pPr>
            <w:r>
              <w:rPr>
                <w:rFonts w:ascii="Noto Sans CJK SC" w:hAnsi="Noto Sans CJK SC" w:eastAsia="Noto Sans CJK SC"/>
                <w:b w:val="0"/>
                <w:color w:val="17252C"/>
                <w:sz w:val="19"/>
              </w:rPr>
              <w:t>强度磨损或控鱼空间不足</w:t>
            </w:r>
          </w:p>
        </w:tc>
        <w:tc>
          <w:tcPr>
            <w:tcW w:type="dxa" w:w="3888"/>
            <w:vAlign w:val="center"/>
            <w:shd w:fill="F1F5F7"/>
          </w:tcPr>
          <w:p>
            <w:pPr>
              <w:spacing w:after="40" w:before="20" w:line="259" w:lineRule="auto"/>
              <w:jc w:val="left"/>
            </w:pPr>
            <w:r>
              <w:rPr>
                <w:rFonts w:ascii="Noto Sans CJK SC" w:hAnsi="Noto Sans CJK SC" w:eastAsia="Noto Sans CJK SC"/>
                <w:b w:val="0"/>
                <w:color w:val="17252C"/>
                <w:sz w:val="19"/>
              </w:rPr>
              <w:t>换受损线，适当加粗并改善遛鱼角度；必要时换位</w:t>
            </w:r>
          </w:p>
        </w:tc>
        <w:tc>
          <w:tcPr>
            <w:tcW w:type="dxa" w:w="2506"/>
            <w:vAlign w:val="center"/>
            <w:shd w:fill="F1F5F7"/>
          </w:tcPr>
          <w:p>
            <w:pPr>
              <w:spacing w:after="40" w:before="20" w:line="259" w:lineRule="auto"/>
              <w:jc w:val="left"/>
            </w:pPr>
            <w:r>
              <w:rPr>
                <w:rFonts w:ascii="Noto Sans CJK SC" w:hAnsi="Noto Sans CJK SC" w:eastAsia="Noto Sans CJK SC"/>
                <w:b w:val="0"/>
                <w:color w:val="17252C"/>
                <w:sz w:val="19"/>
              </w:rPr>
              <w:t>不继续为滑口追求更细</w:t>
            </w:r>
          </w:p>
        </w:tc>
      </w:tr>
      <w:tr>
        <w:trPr>
          <w:cantSplit/>
        </w:trPr>
        <w:tc>
          <w:tcPr>
            <w:tcW w:type="dxa" w:w="1728"/>
            <w:vAlign w:val="center"/>
            <w:shd w:fill="FFFFFF"/>
          </w:tcPr>
          <w:p>
            <w:pPr>
              <w:spacing w:after="40" w:before="20" w:line="259" w:lineRule="auto"/>
              <w:jc w:val="center"/>
            </w:pPr>
            <w:r>
              <w:rPr>
                <w:rFonts w:ascii="Noto Sans CJK SC" w:hAnsi="Noto Sans CJK SC" w:eastAsia="Noto Sans CJK SC"/>
                <w:b w:val="0"/>
                <w:color w:val="17252C"/>
                <w:sz w:val="19"/>
              </w:rPr>
              <w:t>窝里有鱼却无正口</w:t>
            </w:r>
          </w:p>
        </w:tc>
        <w:tc>
          <w:tcPr>
            <w:tcW w:type="dxa" w:w="2160"/>
            <w:vAlign w:val="center"/>
            <w:shd w:fill="FFFFFF"/>
          </w:tcPr>
          <w:p>
            <w:pPr>
              <w:spacing w:after="40" w:before="20" w:line="259" w:lineRule="auto"/>
              <w:jc w:val="left"/>
            </w:pPr>
            <w:r>
              <w:rPr>
                <w:rFonts w:ascii="Noto Sans CJK SC" w:hAnsi="Noto Sans CJK SC" w:eastAsia="Noto Sans CJK SC"/>
                <w:b w:val="0"/>
                <w:color w:val="17252C"/>
                <w:sz w:val="19"/>
              </w:rPr>
              <w:t>存在鱼不等于已证实摄食</w:t>
            </w:r>
          </w:p>
        </w:tc>
        <w:tc>
          <w:tcPr>
            <w:tcW w:type="dxa" w:w="3888"/>
            <w:vAlign w:val="center"/>
            <w:shd w:fill="FFFFFF"/>
          </w:tcPr>
          <w:p>
            <w:pPr>
              <w:spacing w:after="40" w:before="20" w:line="259" w:lineRule="auto"/>
              <w:jc w:val="left"/>
            </w:pPr>
            <w:r>
              <w:rPr>
                <w:rFonts w:ascii="Noto Sans CJK SC" w:hAnsi="Noto Sans CJK SC" w:eastAsia="Noto Sans CJK SC"/>
                <w:b w:val="0"/>
                <w:color w:val="17252C"/>
                <w:sz w:val="19"/>
              </w:rPr>
              <w:t>试小饵与基准饵、窝边与窝心；必要时重新诊断水层</w:t>
            </w:r>
          </w:p>
        </w:tc>
        <w:tc>
          <w:tcPr>
            <w:tcW w:type="dxa" w:w="2506"/>
            <w:vAlign w:val="center"/>
            <w:shd w:fill="FFFFFF"/>
          </w:tcPr>
          <w:p>
            <w:pPr>
              <w:spacing w:after="40" w:before="20" w:line="259" w:lineRule="auto"/>
              <w:jc w:val="left"/>
            </w:pPr>
            <w:r>
              <w:rPr>
                <w:rFonts w:ascii="Noto Sans CJK SC" w:hAnsi="Noto Sans CJK SC" w:eastAsia="Noto Sans CJK SC"/>
                <w:b w:val="0"/>
                <w:color w:val="17252C"/>
                <w:sz w:val="19"/>
              </w:rPr>
              <w:t>不持续堆窝逼鱼吃</w:t>
            </w:r>
          </w:p>
        </w:tc>
      </w:tr>
      <w:tr>
        <w:trPr>
          <w:cantSplit/>
        </w:trPr>
        <w:tc>
          <w:tcPr>
            <w:tcW w:type="dxa" w:w="1728"/>
            <w:vAlign w:val="center"/>
            <w:shd w:fill="F1F5F7"/>
          </w:tcPr>
          <w:p>
            <w:pPr>
              <w:spacing w:after="40" w:before="20" w:line="259" w:lineRule="auto"/>
              <w:jc w:val="center"/>
            </w:pPr>
            <w:r>
              <w:rPr>
                <w:rFonts w:ascii="Noto Sans CJK SC" w:hAnsi="Noto Sans CJK SC" w:eastAsia="Noto Sans CJK SC"/>
                <w:b w:val="0"/>
                <w:color w:val="17252C"/>
                <w:sz w:val="19"/>
              </w:rPr>
              <w:t>换饵后偶然中一尾</w:t>
            </w:r>
          </w:p>
        </w:tc>
        <w:tc>
          <w:tcPr>
            <w:tcW w:type="dxa" w:w="2160"/>
            <w:vAlign w:val="center"/>
            <w:shd w:fill="F1F5F7"/>
          </w:tcPr>
          <w:p>
            <w:pPr>
              <w:spacing w:after="40" w:before="20" w:line="259" w:lineRule="auto"/>
              <w:jc w:val="left"/>
            </w:pPr>
            <w:r>
              <w:rPr>
                <w:rFonts w:ascii="Noto Sans CJK SC" w:hAnsi="Noto Sans CJK SC" w:eastAsia="Noto Sans CJK SC"/>
                <w:b w:val="0"/>
                <w:color w:val="17252C"/>
                <w:sz w:val="19"/>
              </w:rPr>
              <w:t>可能为鱼群或时间变化</w:t>
            </w:r>
          </w:p>
        </w:tc>
        <w:tc>
          <w:tcPr>
            <w:tcW w:type="dxa" w:w="3888"/>
            <w:vAlign w:val="center"/>
            <w:shd w:fill="F1F5F7"/>
          </w:tcPr>
          <w:p>
            <w:pPr>
              <w:spacing w:after="40" w:before="20" w:line="259" w:lineRule="auto"/>
              <w:jc w:val="left"/>
            </w:pPr>
            <w:r>
              <w:rPr>
                <w:rFonts w:ascii="Noto Sans CJK SC" w:hAnsi="Noto Sans CJK SC" w:eastAsia="Noto Sans CJK SC"/>
                <w:b w:val="0"/>
                <w:color w:val="17252C"/>
                <w:sz w:val="19"/>
              </w:rPr>
              <w:t>短段交替回到基准，再跨场次重复</w:t>
            </w:r>
          </w:p>
        </w:tc>
        <w:tc>
          <w:tcPr>
            <w:tcW w:type="dxa" w:w="2506"/>
            <w:vAlign w:val="center"/>
            <w:shd w:fill="F1F5F7"/>
          </w:tcPr>
          <w:p>
            <w:pPr>
              <w:spacing w:after="40" w:before="20" w:line="259" w:lineRule="auto"/>
              <w:jc w:val="left"/>
            </w:pPr>
            <w:r>
              <w:rPr>
                <w:rFonts w:ascii="Noto Sans CJK SC" w:hAnsi="Noto Sans CJK SC" w:eastAsia="Noto Sans CJK SC"/>
                <w:b w:val="0"/>
                <w:color w:val="17252C"/>
                <w:sz w:val="19"/>
              </w:rPr>
              <w:t>不把一次巧合宣布为万能配方</w:t>
            </w:r>
          </w:p>
        </w:tc>
      </w:tr>
    </w:tbl>
    <w:p>
      <w:pPr>
        <w:spacing w:after="0"/>
      </w:pPr>
      <w:r>
        <w:rPr>
          <w:sz w:val="6"/>
        </w:rPr>
      </w:r>
    </w:p>
    <w:p>
      <w:pPr>
        <w:pStyle w:val="Heading2"/>
      </w:pPr>
      <w:r>
        <w:t>短段对照怎么做</w:t>
      </w:r>
    </w:p>
    <w:p>
      <w:r>
        <w:t>同一钓位和水层保留A基准，B只改饵大小、软硬或一种成分。用相近的有效作钓时长或10至15次有效投送作观察段，再回到A。鱼口稀疏时延长观察，避免每两竿就换。短段结果用于选当前方案，跨日重复才能逐步形成可靠经验。</w:t>
      </w:r>
    </w:p>
    <w:p>
      <w:r>
        <w:t>记录顺序：鱼种 体重档 日期时间 水温水层 饵型与大小 投料量 有效作钓分钟 正口 空竿 外挂 断线。鱼群移动与前一份窝料残留会干扰对照，不凭换饵后偶得一尾确认因果。</w:t>
      </w:r>
    </w:p>
    <w:p>
      <w:pPr>
        <w:pStyle w:val="Heading1"/>
        <w:pageBreakBefore/>
      </w:pPr>
      <w:r>
        <w:t>1 鲤鱼基础装备</w:t>
      </w:r>
    </w:p>
    <w:p>
      <w:r>
        <w:t>普通鲤杂食，常底层觅食但也会上浮。23–30℃是FAO所述较适宜生长范围，不是爆口表。反复钓捕可提高对钓组的谨慎性，时长和个体有差异。先确认鱼层与摄食能力，再调整饵、线组和节奏。</w:t>
      </w:r>
    </w:p>
    <w:p>
      <w:r>
        <w:rPr>
          <w:sz w:val="19"/>
        </w:rPr>
        <w:t>生物学与行为依据 [S06] [S07]。下表的线钩、漂重和长度为C类实务起点，适用于可正常遛鱼并使用抄网的条件。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2304"/>
        <w:gridCol w:w="1584"/>
        <w:gridCol w:w="2520"/>
        <w:gridCol w:w="2866"/>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19"/>
              </w:rPr>
              <w:t>单尾体重</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竿与装备</w:t>
            </w:r>
          </w:p>
        </w:tc>
        <w:tc>
          <w:tcPr>
            <w:tcW w:type="dxa" w:w="1584"/>
            <w:vAlign w:val="center"/>
            <w:shd w:fill="16394D"/>
          </w:tcPr>
          <w:p>
            <w:pPr>
              <w:spacing w:after="40" w:before="20" w:line="259" w:lineRule="auto"/>
              <w:jc w:val="left"/>
            </w:pPr>
            <w:r>
              <w:rPr>
                <w:rFonts w:ascii="Noto Sans CJK SC" w:hAnsi="Noto Sans CJK SC" w:eastAsia="Noto Sans CJK SC"/>
                <w:b/>
                <w:color w:val="FFFFFF"/>
                <w:sz w:val="19"/>
              </w:rPr>
              <w:t>主线与子线</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鱼钩候选</w:t>
            </w:r>
          </w:p>
        </w:tc>
        <w:tc>
          <w:tcPr>
            <w:tcW w:type="dxa" w:w="2866"/>
            <w:vAlign w:val="center"/>
            <w:shd w:fill="16394D"/>
          </w:tcPr>
          <w:p>
            <w:pPr>
              <w:spacing w:after="40" w:before="20" w:line="259" w:lineRule="auto"/>
              <w:jc w:val="left"/>
            </w:pPr>
            <w:r>
              <w:rPr>
                <w:rFonts w:ascii="Noto Sans CJK SC" w:hAnsi="Noto Sans CJK SC" w:eastAsia="Noto Sans CJK SC"/>
                <w:b/>
                <w:color w:val="FFFFFF"/>
                <w:sz w:val="19"/>
              </w:rPr>
              <w:t>吃铅与单支子线</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0.5–1.5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3.6–4.5m综合手竿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1.5–2.0号</w:t>
              <w:br/>
              <w:t>子 1.0–1.5号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新关东0.3–0.8号或伊势尼3–5号</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1.5–2.5g</w:t>
              <w:br/>
              <w:t>单根20–30cm；钩差3–5cm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1.5–3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4.5–5.4m综合/鲤竿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2.0–3.0号</w:t>
              <w:br/>
              <w:t>子 1.5–2.0号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新关东0.8–1号或伊势尼5–7号</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2.0–3.5g</w:t>
              <w:br/>
              <w:t>单根20–35cm；钩差3–5cm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3–5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5.4–6.3m大物综合竿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3.0–4.0号</w:t>
              <w:br/>
              <w:t>子 2.0–3.0号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新关东1–2号或伊势尼7–9号</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2.5–4.0g</w:t>
              <w:br/>
              <w:t>单根25–40cm；钩差4–6cm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5–10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6.3–7.2m大物竿；可用带轮装备</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4.0–6.0号</w:t>
              <w:br/>
              <w:t>子 3.0–5.0号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新关东2–3号或伊势尼9–12号</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3.0–5.0g</w:t>
              <w:br/>
              <w:t>单根30–45cm；障碍底可改单钩</w:t>
            </w:r>
          </w:p>
        </w:tc>
      </w:tr>
    </w:tbl>
    <w:p>
      <w:pPr>
        <w:spacing w:after="0"/>
      </w:pPr>
      <w:r>
        <w:rPr>
          <w:sz w:val="6"/>
        </w:rPr>
      </w:r>
    </w:p>
    <w:p>
      <w:r>
        <w:rPr>
          <w:b/>
          <w:sz w:val="19"/>
        </w:rPr>
        <w:t>0.5–1.5 kg档：</w:t>
      </w:r>
      <w:r>
        <w:rPr>
          <w:sz w:val="19"/>
        </w:rPr>
        <w:t>静水无障碍并用抄网；冷水慢钓取下限，抢鱼/硬竿取上限。</w:t>
      </w:r>
    </w:p>
    <w:p>
      <w:r>
        <w:rPr>
          <w:b/>
          <w:sz w:val="19"/>
        </w:rPr>
        <w:t>1.5–3 kg档：</w:t>
      </w:r>
      <w:r>
        <w:rPr>
          <w:sz w:val="19"/>
        </w:rPr>
        <w:t>保证回鱼空间；热水强冲刺、近障碍时提高强度。</w:t>
      </w:r>
    </w:p>
    <w:p>
      <w:r>
        <w:rPr>
          <w:b/>
          <w:sz w:val="19"/>
        </w:rPr>
        <w:t>3–5 kg档：</w:t>
      </w:r>
      <w:r>
        <w:rPr>
          <w:sz w:val="19"/>
        </w:rPr>
        <w:t>按结节强度配套；鱼体重不等于所需线材静拉力。</w:t>
      </w:r>
    </w:p>
    <w:p>
      <w:r>
        <w:rPr>
          <w:b/>
          <w:sz w:val="19"/>
        </w:rPr>
        <w:t>5–10 kg档：</w:t>
      </w:r>
      <w:r>
        <w:rPr>
          <w:sz w:val="19"/>
        </w:rPr>
        <w:t>先留足遛鱼、抄鱼空间；吃铅还要随水深、风流和抛距修改。</w:t>
      </w:r>
    </w:p>
    <w:p>
      <w:pPr>
        <w:pStyle w:val="Heading2"/>
      </w:pPr>
      <w:r>
        <w:t>本鱼种需要避免的误判</w:t>
      </w:r>
    </w:p>
    <w:p>
      <w:r>
        <w:rPr>
          <w:sz w:val="19"/>
        </w:rPr>
        <w:t>• 把生长适温当爆口温度。</w:t>
      </w:r>
    </w:p>
    <w:p>
      <w:r>
        <w:rPr>
          <w:sz w:val="19"/>
        </w:rPr>
        <w:t>• 把回锅等同永久统一行为。</w:t>
      </w:r>
    </w:p>
    <w:p>
      <w:r>
        <w:rPr>
          <w:sz w:val="19"/>
        </w:rPr>
        <w:t>• 臭底只加香，不查陷泥和溶氧。</w:t>
      </w:r>
    </w:p>
    <w:p>
      <w:pPr>
        <w:pStyle w:val="Heading1"/>
        <w:pageBreakBefore/>
      </w:pPr>
      <w:r>
        <w:t>鲤鱼生口与滑口搭配</w:t>
      </w:r>
    </w:p>
    <w:p>
      <w:r>
        <w:t>生口鱼需先确认已恢复摄食。滑口优化也要服从水环境、鱼体与装备强度；初始节奏和窝量按现场饵芯、鱼讯与实际消耗调整。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4385"/>
        <w:gridCol w:w="4385"/>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20"/>
              </w:rPr>
              <w:t>项目</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生口且正常摄食</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滑口或明确受钓压</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基础饵与备选</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100g干料试样：当地颗粒粉60g＋谷物饵30g＋轻质状态粉10g；按产品加水，钩饵8–12mm。备单粒嫩玉米作对照。</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熟悉基底做6–10mm小软饵、低散化；另备软颗粒或嫩玉米。添加物与空白分开小样，不叠加。</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钓层与呈现</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1–3kg示例：主2.5/子1.5号，关东0.8号，漂2.5g，子线20/25cm。从触底起，确认抢食后30–60秒一竿。</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1–3kg：主2–2.5/子1.2–1.5号，关东0.5–0.8号，漂1.8–2.5g，子线25/30cm。先验证真实底态。</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频率和补窝</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未知状态先30–50g；确认活跃后前10分钟分次投100–150g。每2–3尾正口补5–10g；只蹭线则停补。</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初窝20–50g，试窝边20–50cm。软饵2–4分钟、玉米5–10分钟检查；有正口补5–10g。</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何时调整</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观察10–15分钟，一次改一项。持续半水正口可每次上移10–20cm；刚放鱼全塘停口，先查恢复和水质。</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依次查鱼层、陷泥、绷线和走水；再缩饵、减散化、改落点。记录正口/空竿/锚中，每次只改一项。</w:t>
            </w:r>
          </w:p>
        </w:tc>
      </w:tr>
    </w:tbl>
    <w:p>
      <w:pPr>
        <w:spacing w:after="0"/>
      </w:pPr>
      <w:r>
        <w:rPr>
          <w:sz w:val="6"/>
        </w:rPr>
      </w:r>
    </w:p>
    <w:p>
      <w:pPr>
        <w:pStyle w:val="Heading2"/>
      </w:pPr>
      <w:r>
        <w:t>执行时保持一份基准</w:t>
      </w:r>
    </w:p>
    <w:p>
      <w:r>
        <w:t>先完成一次带饵调漂和近岸状态检查。每次只改一项；鱼层改变先重校饵位，饵团改变先重校饵重。连续正口后保持主要变量，连续空竿、外挂或断线则按诊断表回查。</w:t>
      </w:r>
    </w:p>
    <w:p>
      <w:pPr>
        <w:pStyle w:val="Heading1"/>
        <w:pageBreakBefore/>
      </w:pPr>
      <w:r>
        <w:t>鲤鱼现场方案</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低温慢口</w:t>
              <w:br/>
              <w:t>约8–15℃或明显降温，仍有觅食</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1–3kg：主2/子1.2–1.5号；关东0.5–0.8；漂1.5–2.5g</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6–8mm软饵；另试鱼粉型饵</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窝20–30g；2–4分钟检查；找温度稳定的交界处</w:t>
              <w:br/>
              <w:t>调整：20–30分钟无有效讯，先查温度、层位和点位</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高温肥水</w:t>
              <w:br/>
              <w:t>约28–32℃、浓水；区分浮头与正常活动</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1–3kg：主2.5–3/子1.5–2号；关东0.8–1；漂2–3.5g</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小软饵与玉米对照，减散化</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比来水、增氧边缘和阴影处；清晨也可能低氧</w:t>
              <w:br/>
              <w:t>调整：浮头急促呼吸先停窝并由场方处理增氧</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缓流水/走水</w:t>
              <w:br/>
              <w:t>到位后持续平移，饵不能定点</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主2.5–3/子1.5–2号；漂2.5–4g；滑铅时子线8–15cm</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8–12mm持钩饵或玉米</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先缩风线找缓流；必要时滑铅稳底并验证主线畅通</w:t>
              <w:br/>
              <w:t>调整：漂仍被拉没则增稳底或换位，别把水阻当鱼口</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臭泥底</w:t>
              <w:br/>
              <w:t>厚软泥，回收钩饵沾黑泥/异味</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主2–2.5/子1.2–1.5号；关东0.5–0.8；子线20/25cm</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6–10mm低密度软饵</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找薄泥硬底；比较触底与离底5–10cm</w:t>
              <w:br/>
              <w:t>调整：离底连续正口才保留；全层无口查水质/换区</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轻口吃不进</w:t>
              <w:br/>
              <w:t>小动作可重复但正口少，排除杂鱼</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先保留装备；依次试小一号钩/细一档子线，保证强度</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由8–10mm缩到6–8mm</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复核钩饵压目和底态；比较近底与双饵轻触底</w:t>
              <w:br/>
              <w:t>调整：10–15竿入口改善才保留；断线或脱钩多则回调</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鲤鱼现场方案 续</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蹭线空竿</w:t>
              <w:br/>
              <w:t>动作杂乱，挂鳞/腹/尾</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子线30/35试减20/25cm；必要时单钩</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小软黏饵，暂停散炮</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停补窝，移窝边20–50cm，核查真实鱼层</w:t>
              <w:br/>
              <w:t>调整：连续3次空竿或锚中检查；10–15竿后再改单项</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生口抢鱼</w:t>
              <w:br/>
              <w:t>确认适应且连贯正口、密度高</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主3/子2号；关东1；漂2.5–3.5g；子线15/20cm</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8–12mm钩饵配少量稍散诱饵</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30–60秒一竿试起，落点一致并用抄网</w:t>
              <w:br/>
              <w:t>调整：等待增长且空竿上升，减散化和窝量并查鱼层</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滑口慢钓</w:t>
              <w:br/>
              <w:t>钓捕史明确，鱼在窝边但正口少</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主2–2.5/子1.2–1.5号；关东0.5–0.8；子线25/30cm</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6–10mm软黏饵；单粒饵作对照</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窝20–50g，2–4分钟查饵，试窝边入口</w:t>
              <w:br/>
              <w:t>调整：只见鱼星无口，先减补窝和缩饵；鱼星也可能放气</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野钓低密度</w:t>
              <w:br/>
              <w:t>湖库/河湾，密度不明</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1.5–5kg：主3–4/子2–3号；伊势尼6–9；漂2.5–4g</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玉米1–2粒或本地谷物/颗粒</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坎边湾口找鱼迹；窝50–100g，观察30–60分钟</w:t>
              <w:br/>
              <w:t>调整：无迹无讯换邻近结构；正口后才补料</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大鲤/障碍边</w:t>
              <w:br/>
              <w:t>5–10kg，桩石或水草边</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主5–6/子4–5号；伊势尼10–12；单钩子线30–40cm</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玉米1–2粒或10–15mm持钩饵</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先定离障路线和抄鱼位置，留缓冲</w:t>
              <w:br/>
              <w:t>调整：线拉毛、结白、钩卷即换；连续冲障脱鱼则换位</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2 鲫鱼基础装备</w:t>
      </w:r>
    </w:p>
    <w:p>
      <w:r>
        <w:t>国内鲫类、养殖杂交鲫与日本白鲫不可默认同习性。幼鲫研究支持直接反复钓捕降低可钓性，未证实相同视觉社会学习效应。耐低氧不等于低氧下正常摄食。1–2kg档先核实鱼种、嘴型和力量；底钓仅为起点。</w:t>
      </w:r>
    </w:p>
    <w:p>
      <w:r>
        <w:rPr>
          <w:sz w:val="19"/>
        </w:rPr>
        <w:t>生物学与行为依据 [S13] [S14]。下表的线钩、漂重和长度为C类实务起点，适用于可正常遛鱼并使用抄网的条件。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2304"/>
        <w:gridCol w:w="1584"/>
        <w:gridCol w:w="2520"/>
        <w:gridCol w:w="2866"/>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19"/>
              </w:rPr>
              <w:t>单尾体重</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竿与装备</w:t>
            </w:r>
          </w:p>
        </w:tc>
        <w:tc>
          <w:tcPr>
            <w:tcW w:type="dxa" w:w="1584"/>
            <w:vAlign w:val="center"/>
            <w:shd w:fill="16394D"/>
          </w:tcPr>
          <w:p>
            <w:pPr>
              <w:spacing w:after="40" w:before="20" w:line="259" w:lineRule="auto"/>
              <w:jc w:val="left"/>
            </w:pPr>
            <w:r>
              <w:rPr>
                <w:rFonts w:ascii="Noto Sans CJK SC" w:hAnsi="Noto Sans CJK SC" w:eastAsia="Noto Sans CJK SC"/>
                <w:b/>
                <w:color w:val="FFFFFF"/>
                <w:sz w:val="19"/>
              </w:rPr>
              <w:t>主线与子线</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鱼钩候选</w:t>
            </w:r>
          </w:p>
        </w:tc>
        <w:tc>
          <w:tcPr>
            <w:tcW w:type="dxa" w:w="2866"/>
            <w:vAlign w:val="center"/>
            <w:shd w:fill="16394D"/>
          </w:tcPr>
          <w:p>
            <w:pPr>
              <w:spacing w:after="40" w:before="20" w:line="259" w:lineRule="auto"/>
              <w:jc w:val="left"/>
            </w:pPr>
            <w:r>
              <w:rPr>
                <w:rFonts w:ascii="Noto Sans CJK SC" w:hAnsi="Noto Sans CJK SC" w:eastAsia="Noto Sans CJK SC"/>
                <w:b/>
                <w:color w:val="FFFFFF"/>
                <w:sz w:val="19"/>
              </w:rPr>
              <w:t>吃铅与单支子线</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0.05–0.15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2.7–3.6m轻量鲫竿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0.6–0.8号</w:t>
              <w:br/>
              <w:t>子 0.3–0.4号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袖2–3号</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0.6–1.2g</w:t>
              <w:br/>
              <w:t>单根10–18cm；钩差2–3cm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0.15–0.5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3.6–4.5m鲫竿/偏软综合竿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0.8–1.2号</w:t>
              <w:br/>
              <w:t>子 0.4–0.6号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袖3–5号</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0.8–1.5g</w:t>
              <w:br/>
              <w:t>单根15–22cm；钩差2–4cm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0.5–1.0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3.6–5.4m综合鲫竿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1.2–1.5号</w:t>
              <w:br/>
              <w:t>子 0.6–0.8号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袖5–7号；强力鱼可选粗条版本</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1.0–2.0g</w:t>
              <w:br/>
              <w:t>单根18–28cm；钩差3–4cm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1–2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4.5–5.4m综合竿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1.5–2.0号</w:t>
              <w:br/>
              <w:t>子 0.8–1.2号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强条袖7–9号或新关东0.3–0.5号</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1.5–2.5g</w:t>
              <w:br/>
              <w:t>单根20–30cm；钩差3–5cm</w:t>
            </w:r>
          </w:p>
        </w:tc>
      </w:tr>
    </w:tbl>
    <w:p>
      <w:pPr>
        <w:spacing w:after="0"/>
      </w:pPr>
      <w:r>
        <w:rPr>
          <w:sz w:val="6"/>
        </w:rPr>
      </w:r>
    </w:p>
    <w:p>
      <w:r>
        <w:rPr>
          <w:b/>
          <w:sz w:val="19"/>
        </w:rPr>
        <w:t>0.05–0.15 kg档：</w:t>
      </w:r>
      <w:r>
        <w:rPr>
          <w:sz w:val="19"/>
        </w:rPr>
        <w:t>静水约1–2m、无障碍且无大鱼混养；新手不必极细线。</w:t>
      </w:r>
    </w:p>
    <w:p>
      <w:r>
        <w:rPr>
          <w:b/>
          <w:sz w:val="19"/>
        </w:rPr>
        <w:t>0.15–0.5 kg档：</w:t>
      </w:r>
      <w:r>
        <w:rPr>
          <w:sz w:val="19"/>
        </w:rPr>
        <w:t>慢口取下限，暖水快鱼取上限；虫饵和颗粒另查钩门。</w:t>
      </w:r>
    </w:p>
    <w:p>
      <w:r>
        <w:rPr>
          <w:b/>
          <w:sz w:val="19"/>
        </w:rPr>
        <w:t>0.5–1.0 kg档：</w:t>
      </w:r>
      <w:r>
        <w:rPr>
          <w:sz w:val="19"/>
        </w:rPr>
        <w:t>混养鲤鱼/障碍区可主1.5–2号、子0.8–1号；用抄网。</w:t>
      </w:r>
    </w:p>
    <w:p>
      <w:r>
        <w:rPr>
          <w:b/>
          <w:sz w:val="19"/>
        </w:rPr>
        <w:t>1–2 kg档：</w:t>
      </w:r>
      <w:r>
        <w:rPr>
          <w:sz w:val="19"/>
        </w:rPr>
        <w:t>先核实鱼种；热水快鱼/硬竿取上限，钩型号数不可直接互换。</w:t>
      </w:r>
    </w:p>
    <w:p>
      <w:pPr>
        <w:pStyle w:val="Heading2"/>
      </w:pPr>
      <w:r>
        <w:t>本鱼种需要避免的误判</w:t>
      </w:r>
    </w:p>
    <w:p>
      <w:r>
        <w:rPr>
          <w:sz w:val="19"/>
        </w:rPr>
        <w:t>• 混同国内鲫类与日本白鲫。</w:t>
      </w:r>
    </w:p>
    <w:p>
      <w:r>
        <w:rPr>
          <w:sz w:val="19"/>
        </w:rPr>
        <w:t>• 把耐低氧当作低氧下正常摄食。</w:t>
      </w:r>
    </w:p>
    <w:p>
      <w:r>
        <w:rPr>
          <w:sz w:val="19"/>
        </w:rPr>
        <w:t>• 所有水深风流都用极小漂。</w:t>
      </w:r>
    </w:p>
    <w:p>
      <w:pPr>
        <w:pStyle w:val="Heading1"/>
        <w:pageBreakBefore/>
      </w:pPr>
      <w:r>
        <w:t>鲫鱼生口与滑口搭配</w:t>
      </w:r>
    </w:p>
    <w:p>
      <w:r>
        <w:t>生口鱼需先确认已恢复摄食。滑口优化也要服从水环境、鱼体与装备强度；初始节奏和窝量按现场饵芯、鱼讯与实际消耗调整。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4385"/>
        <w:gridCol w:w="4385"/>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20"/>
              </w:rPr>
              <w:t>项目</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生口且正常摄食</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滑口或明确受钓压</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基础饵与备选</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先单开鲫鱼拉饵按包装水比。100g试配可用谷物鲫饵70g＋腥型商品饵20g＋轻质状态粉10g；小鲫饵4–6mm。</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原基底只改软硬或大小；0.15–0.5kg用3–5mm，大鲫5–7mm。低散化留芯，可另比场规允许的虫饵。</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钓层与呈现</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0.15–0.5kg：主1/子0.6号，袖4–5号，漂1–1.5g，子线15/18cm；确认到位后20–40秒一竿试起。</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主0.8–1/子0.4–0.5号，袖3–4号，漂0.8–1.2g，子线18/22cm；风深水可增漂，不机械求小。</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频率和补窝</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未知先10–20g；确认密集摄食后前10分钟累计20–40g。每3–5尾正口补2–5g，冷水/小鱼取下限。</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初窝5–15g或靠钩饵带入；45–90秒检查，冷水可1–3分钟。连续正口才补2–3g；乱口空竿则停补。</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何时调整</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连续10竿观察饵芯和中钩位置。稳定半水正口才上移10–20cm；截口多却不正口，先减散化/缩饵。</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先查找底、饵重与子线受力，再缩饵/改底态/换落点。3次空竿触发检查，10–15竿比较正口并只改一项。</w:t>
            </w:r>
          </w:p>
        </w:tc>
      </w:tr>
    </w:tbl>
    <w:p>
      <w:pPr>
        <w:spacing w:after="0"/>
      </w:pPr>
      <w:r>
        <w:rPr>
          <w:sz w:val="6"/>
        </w:rPr>
      </w:r>
    </w:p>
    <w:p>
      <w:pPr>
        <w:pStyle w:val="Heading2"/>
      </w:pPr>
      <w:r>
        <w:t>执行时保持一份基准</w:t>
      </w:r>
    </w:p>
    <w:p>
      <w:r>
        <w:t>先完成一次带饵调漂和近岸状态检查。每次只改一项；鱼层改变先重校饵位，饵团改变先重校饵重。连续正口后保持主要变量，连续空竿、外挂或断线则按诊断表回查。</w:t>
      </w:r>
    </w:p>
    <w:p>
      <w:pPr>
        <w:pStyle w:val="Heading1"/>
        <w:pageBreakBefore/>
      </w:pPr>
      <w:r>
        <w:t>鲫鱼现场方案</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低温鲫鱼</w:t>
              <w:br/>
              <w:t>约4–12℃、降温慢口，仍有零星觅食</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0.15–0.5kg：主0.8/子0.4号；袖3–4；漂0.6–1.2g</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3–5mm软饵或允许的虫饵</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背风草边交界找鱼；窝5–10g，1–3分钟查饵</w:t>
              <w:br/>
              <w:t>调整：10–15竿无入口先换微地形/层位并查留饵</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高温肥水</w:t>
              <w:br/>
              <w:t>约28–32℃、浓水、闷热/连续阴天</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0.3–1kg：主1.2–1.5/子0.6–0.8号；袖5–6；漂1–2g</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小软饵/小软颗粒，少散化</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查钓层溶氧，比较来水和增氧边缘；清晨也可能低氧</w:t>
              <w:br/>
              <w:t>调整：浮头急促呼吸停窝，先由场方处理水质/增氧</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缓流水钓鲫</w:t>
              <w:br/>
              <w:t>顺流走漂，饵留不住</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主1–1.2/子0.6号；袖4–5；漂1.5–3g；滑铅子线8–12cm</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4–6mm持钩软搓饵或蚯蚓</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选回流缓边；先缩风线，再测试滑铅稳底及通线</w:t>
              <w:br/>
              <w:t>调整：被流拖走则加稳底/换位，不把规律漂移当鱼口</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臭泥底</w:t>
              <w:br/>
              <w:t>厚软泥，钩饵沾泥；底层无口</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主1/子0.5号；袖4；漂1–1.5g；子线15/20cm</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3–6mm轻软饵，少量带入</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找硬软交界，比较触泥面与离底5–10cm</w:t>
              <w:br/>
              <w:t>调整：离底连续正口才保持；全层无口查溶氧/换区</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轻口细讯</w:t>
              <w:br/>
              <w:t>小顿/抬漂可重复，排除水流和杂鱼</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主0.8–1/子0.4–0.5号；袖3–4；漂0.8–1.2g</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先从6mm缩至3–4mm；查缠钩门</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测钩饵压目并复找底，比较近底与双饵轻触底</w:t>
              <w:br/>
              <w:t>调整：每10竿比正口；深吞增多则调整信号与扬竿时机</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鲫鱼现场方案 续</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蹭线空竿</w:t>
              <w:br/>
              <w:t>动作多，偶挂鳞/身体，可能层错</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保留线径；子线25/30试减15/20cm，必要时单钩</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同基底小软黏饵，暂停散炮</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先查钩上留饵，再查鱼层并试窝边20–30cm</w:t>
              <w:br/>
              <w:t>调整：连续3次空竿检查；10–15竿无改善再改单项</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生口抢鱼</w:t>
              <w:br/>
              <w:t>0.15–0.5kg已适应、连续正口</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主1.2/子0.6–0.8号；袖5；漂1.2–1.8g；子线12/15cm</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4–6mm拉饵，到位必须留芯</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20–40秒一竿；前10分钟累计20–40g干料</w:t>
              <w:br/>
              <w:t>调整：乱截口/锚中增多则减散化、缩饵量并查层</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滑口慢钓</w:t>
              <w:br/>
              <w:t>钓压高、有鱼迹但正口稀少</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主0.8–1/子0.4–0.5号；袖3–4；漂0.8–1.5g</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3–5mm小软饵，同基料比状态</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窝5–15g，45–90秒查饵；稳定触底、试窝边</w:t>
              <w:br/>
              <w:t>调整：10–15竿无正口改单一物理因素，再考虑细一档线</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野钓草边</w:t>
              <w:br/>
              <w:t>野河沟塘、鱼分散，0.05–0.5kg</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主0.8–1.2/子0.4–0.6号；袖3–5；草洞单钩10–18cm</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小拉饵或蚯蚓，杂鱼多则提高持钩</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草外沿/坎边，每点窝5–15g，观察15–30分钟</w:t>
              <w:br/>
              <w:t>调整：无迹无口换相邻结构；出鱼后仅按消耗补2–5g</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大鲫/混养</w:t>
              <w:br/>
              <w:t>0.5–2kg或混有鲤鱼，鱼力较强</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主1.5–2/子0.8–1.2号；强条袖6–9；漂1.5–2.5g</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6–8mm软饵或小软颗粒</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看嘴型配钩；慢口先改饵/底态，用抄网起鱼</w:t>
              <w:br/>
              <w:t>调整：结损/拉钩/混获大鲤时增强装备；先核实鱼种</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3 鲢鳙基础装备</w:t>
      </w:r>
    </w:p>
    <w:p>
      <w:r>
        <w:t>白鲢偏滤食浮游植物，鳙鱼偏浮游动物，两者食谱均有重叠。实际鱼层受食物、温度、溶氧及扰动影响，不能套用白鲢浅、鳙鱼深。下列钓具与节奏均为实务试验起点。</w:t>
      </w:r>
    </w:p>
    <w:p>
      <w:r>
        <w:rPr>
          <w:sz w:val="19"/>
        </w:rPr>
        <w:t>生物学与行为依据 [S18] [S19]。下表的线钩、漂重和长度为C类实务起点，适用于可正常遛鱼并使用抄网的条件。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2304"/>
        <w:gridCol w:w="1584"/>
        <w:gridCol w:w="2520"/>
        <w:gridCol w:w="2866"/>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19"/>
              </w:rPr>
              <w:t>单尾体重</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竿与装备</w:t>
            </w:r>
          </w:p>
        </w:tc>
        <w:tc>
          <w:tcPr>
            <w:tcW w:type="dxa" w:w="1584"/>
            <w:vAlign w:val="center"/>
            <w:shd w:fill="16394D"/>
          </w:tcPr>
          <w:p>
            <w:pPr>
              <w:spacing w:after="40" w:before="20" w:line="259" w:lineRule="auto"/>
              <w:jc w:val="left"/>
            </w:pPr>
            <w:r>
              <w:rPr>
                <w:rFonts w:ascii="Noto Sans CJK SC" w:hAnsi="Noto Sans CJK SC" w:eastAsia="Noto Sans CJK SC"/>
                <w:b/>
                <w:color w:val="FFFFFF"/>
                <w:sz w:val="19"/>
              </w:rPr>
              <w:t>主线与子线</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鱼钩候选</w:t>
            </w:r>
          </w:p>
        </w:tc>
        <w:tc>
          <w:tcPr>
            <w:tcW w:type="dxa" w:w="2866"/>
            <w:vAlign w:val="center"/>
            <w:shd w:fill="16394D"/>
          </w:tcPr>
          <w:p>
            <w:pPr>
              <w:spacing w:after="40" w:before="20" w:line="259" w:lineRule="auto"/>
              <w:jc w:val="left"/>
            </w:pPr>
            <w:r>
              <w:rPr>
                <w:rFonts w:ascii="Noto Sans CJK SC" w:hAnsi="Noto Sans CJK SC" w:eastAsia="Noto Sans CJK SC"/>
                <w:b/>
                <w:color w:val="FFFFFF"/>
                <w:sz w:val="19"/>
              </w:rPr>
              <w:t>吃铅与单支子线</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1–3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4.5–5.4 m有缓冲鲢鳙竿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尼龙3号</w:t>
              <w:br/>
              <w:t>子 尼龙2号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中粗条伊势尼7–8号，按塘规选无倒刺</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3–4 g</w:t>
              <w:br/>
              <w:t>单支20–30 cm；双钩差8–10 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3–5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5.4–6.3 m有缓冲鲢鳙竿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尼龙4号</w:t>
              <w:br/>
              <w:t>子 尼龙3号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中粗条伊势尼8–10号</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4–5 g</w:t>
              <w:br/>
              <w:t>单支25–35 cm；双钩差8–12 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5–10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6.3–7.2 m大物竿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尼龙6号</w:t>
              <w:br/>
              <w:t>子 尼龙4–5号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粗条伊势尼10–12号</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5–7 g</w:t>
              <w:br/>
              <w:t>单支30–40 cm；双钩差10–12 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10–20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优先4.5–5.3 m强力矶竿配轮；限手竿用7.2–8.1 m大物竿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带轮尼龙8–10号；手竿另配</w:t>
              <w:br/>
              <w:t>子 尼龙6–8号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粗条伊势尼12–15号，核实实际钩门</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8–12 g</w:t>
              <w:br/>
              <w:t>单支30–45 cm；优先单钩带饵</w:t>
            </w:r>
          </w:p>
        </w:tc>
      </w:tr>
    </w:tbl>
    <w:p>
      <w:pPr>
        <w:spacing w:after="0"/>
      </w:pPr>
      <w:r>
        <w:rPr>
          <w:sz w:val="6"/>
        </w:rPr>
      </w:r>
    </w:p>
    <w:p>
      <w:r>
        <w:rPr>
          <w:b/>
          <w:sz w:val="19"/>
        </w:rPr>
        <w:t>1–3 kg档：</w:t>
      </w:r>
      <w:r>
        <w:rPr>
          <w:sz w:val="19"/>
        </w:rPr>
        <w:t>双钩均带饵，下钩饵较小；带饵重新校准浮漂。</w:t>
      </w:r>
    </w:p>
    <w:p>
      <w:r>
        <w:rPr>
          <w:b/>
          <w:sz w:val="19"/>
        </w:rPr>
        <w:t>3–5 kg档：</w:t>
      </w:r>
      <w:r>
        <w:rPr>
          <w:sz w:val="19"/>
        </w:rPr>
        <w:t>硬竿、障碍或快速回鱼可升一档；滑口不机械减半线号。</w:t>
      </w:r>
    </w:p>
    <w:p>
      <w:r>
        <w:rPr>
          <w:b/>
          <w:sz w:val="19"/>
        </w:rPr>
        <w:t>5–10 kg档：</w:t>
      </w:r>
      <w:r>
        <w:rPr>
          <w:sz w:val="19"/>
        </w:rPr>
        <w:t>留足遛鱼空间；换饵团大小后重新标定，抄网上岸。</w:t>
      </w:r>
    </w:p>
    <w:p>
      <w:r>
        <w:rPr>
          <w:b/>
          <w:sz w:val="19"/>
        </w:rPr>
        <w:t>10–20 kg档：</w:t>
      </w:r>
      <w:r>
        <w:rPr>
          <w:sz w:val="19"/>
        </w:rPr>
        <w:t>10–20 kg优先可放线；泄力按整套湿态结节承载设置，不硬顶提鱼。</w:t>
      </w:r>
    </w:p>
    <w:p>
      <w:pPr>
        <w:pStyle w:val="Heading2"/>
      </w:pPr>
      <w:r>
        <w:t>本鱼种需要避免的误判</w:t>
      </w:r>
    </w:p>
    <w:p>
      <w:r>
        <w:rPr>
          <w:sz w:val="19"/>
        </w:rPr>
        <w:t>• 把白鲢、鳙鱼合并，或用固定酸臭味和固定浅深口诀代替找层。</w:t>
      </w:r>
    </w:p>
    <w:p>
      <w:r>
        <w:rPr>
          <w:sz w:val="19"/>
        </w:rPr>
        <w:t>• 浮头继续加粉、急流硬套静水粉饵；把漂吃铅量当作任意饵团承载。</w:t>
      </w:r>
    </w:p>
    <w:p>
      <w:r>
        <w:rPr>
          <w:sz w:val="19"/>
        </w:rPr>
        <w:t>• 禁止扫钩锚鱼；身体外挂、擦线均不能计为有效正口。</w:t>
      </w:r>
    </w:p>
    <w:p>
      <w:pPr>
        <w:pStyle w:val="Heading1"/>
        <w:pageBreakBefore/>
      </w:pPr>
      <w:r>
        <w:t>鲢鳙生口与滑口搭配</w:t>
      </w:r>
    </w:p>
    <w:p>
      <w:r>
        <w:t>生口鱼需先确认已恢复摄食。滑口优化也要服从水环境、鱼体与装备强度；初始节奏和窝量按现场饵芯、鱼讯与实际消耗调整。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4385"/>
        <w:gridCol w:w="4385"/>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20"/>
              </w:rPr>
              <w:t>项目</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生口且正常摄食</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滑口或明确受钓压</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基础饵与备选</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白鲢干粉100 g：基础细粉80＋轻麸15＋黏粉5；鳙鱼另作对照，将基础粉10 g换细鱼粉。上饵18–25 mm、下饵10–15 mm起试，双钩带饵。</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饵团体积先缩约三分之一，保留连续微粒，不取消雾化。无额外香精作基线；白鲢、鳙鱼分开比较鱼粉等单变量，不默认强酸强腥。</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钓层与呈现</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水深≥2 m从下钩深1.0–1.2 m试；1.5–2 m浅塘从0.7–1.0 m试。每层10–15竿或8–12分钟，换层20–30 cm；有口后微调10–15 cm。</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轻入水，已知鱼层内每次微调10–15 cm。可用单钩带饵减少外挂；承载可靠、无障碍才降一档子线，不同时改线、钩和味。</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频率和补窝</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杯试目标：到层前保主体，5–10秒连续落细粒，30–60秒明显缩小且留芯。前5分钟30–45秒一竿，仅钩饵投送；连续正口后45–90秒一竿。</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60–90秒一竿起，减少每竿粉量；到时空钩且颗粒带消失，缩短间隔或加强保芯。颗粒过浓、只有擦线时停补2–3分钟，再小量恢复。</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何时调整</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未站漂就散：减抛投冲击或略增黏；90秒仍硬球：减揉打或加松散料。仅擦线先缩饵、减投料并核查鱼层；白鲢、鳙鱼分别记正口。</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两个短观察段仍只有擦线：查鱼层、缺氧、钩重及饵团大小。按稳定正口信号扬竿；身体外挂不计成绩，不用扫钩试鱼。</w:t>
            </w:r>
          </w:p>
        </w:tc>
      </w:tr>
    </w:tbl>
    <w:p>
      <w:pPr>
        <w:spacing w:after="0"/>
      </w:pPr>
      <w:r>
        <w:rPr>
          <w:sz w:val="6"/>
        </w:rPr>
      </w:r>
    </w:p>
    <w:p>
      <w:pPr>
        <w:pStyle w:val="Heading2"/>
      </w:pPr>
      <w:r>
        <w:t>执行时保持一份基准</w:t>
      </w:r>
    </w:p>
    <w:p>
      <w:r>
        <w:t>先完成一次带饵调漂和近岸状态检查。每次只改一项；鱼层改变先重校饵位，饵团改变先重校饵重。连续正口后保持主要变量，连续空竿、外挂或断线则按诊断表回查。</w:t>
      </w:r>
    </w:p>
    <w:p>
      <w:pPr>
        <w:pStyle w:val="Heading1"/>
        <w:pageBreakBefore/>
      </w:pPr>
      <w:r>
        <w:t>鲢鳙现场方案</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23℃静水、活动正常</w:t>
              <w:br/>
              <w:t>目标层约23℃，无浮头，溶氧正常；两种鱼分开记。</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3–5 kg参考：4＋3号线、伊势尼8–10号、4–5 g漂。</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白鲢细粉基线；鳙鱼对照替换少量细鱼粉。</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下钩深1.0–1.2 m起；换层20–30 cm，有口后调10–15 cm。</w:t>
              <w:br/>
              <w:t>调整：10–15竿无接触先查鱼与位置；擦线则缩团调层。</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凉水或明显降温</w:t>
              <w:br/>
              <w:t>目标层15–20℃或近期快速降温；并非停口阈值。</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保留承载，漂取重量档低端，小饵减阻。</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小团、落细粒且留芯，不机械加重腥。</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稳定水层逐层试，60–120秒一竿按余饵调整。</w:t>
              <w:br/>
              <w:t>调整：全塘同种鱼无正口时降低投入，不能由耐寒推定摄食。</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高温绿水、清晨浮头</w:t>
              <w:br/>
              <w:t>绿水、高温、高密度先核查缺氧，水色不能确诊。</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暂停加窝，测表层及目标层溶氧。</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不追加大量易散有机粉料。</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与塘主确认增氧；持续浮头或异常呼吸时停止追钓。</w:t>
              <w:br/>
              <w:t>调整：恢复正常活动、水质合适后小量试；浮头不是钓浮信号。</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臭底但中上层正常</w:t>
              <w:br/>
              <w:t>水深1.5–2 m，臭底；须确认上层水质与活动正常。</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两钩留在合适水层，不拖入泥。</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小量、连续细粒释放。</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离底30–50 cm候选层与浅层比较，每次调20 cm。</w:t>
              <w:br/>
              <w:t>调整：该距离不是毒物安全线；全层水质差则换区或停钓。</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可控缓流水</w:t>
              <w:br/>
              <w:t>钩、漂与颗粒带能保持在同一有效漂程。</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稳漂，必要时吃铅升一档，子线略短。</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略增保芯，持续掉细粒，不一触即散。</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固定上游落点，同一漂程自然走，比较钩与颗粒带位置。</w:t>
              <w:br/>
              <w:t>调整：钩与颗粒带明显分离时换缓流区，不能靠加粉补偿。</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鲢鳙现场方案 续</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急流或强走水</w:t>
              <w:br/>
              <w:t>颗粒带和钩不能同处短漂程，反复挂底或淹漂。</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停止照搬静水悬浮粉饵配置。</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暂停大量粉窝。</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换回水、支汊或其他可控位置。</w:t>
              <w:br/>
              <w:t>调整：有效呈现不能成立即停此方法；蹭线不记开口。</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清水、高压力回锅鱼</w:t>
              <w:br/>
              <w:t>鱼绕组且无缺氧表现；学习回避只是候选解释。</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柔顺子线、优先单钩；承载可靠才降一档。</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小团持续微粒，减少每竿投料。</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轻入水、钓窝边；60–90秒起，在已知层小步试。</w:t>
              <w:br/>
              <w:t>调整：重复改善正口才保留变化，一次上鱼不证明味型有效。</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4 草鱼基础装备</w:t>
      </w:r>
    </w:p>
    <w:p>
      <w:r>
        <w:t>成鱼以植物为主要天然食物，也接受谷物和养殖颗粒；常活动于中下层，随食物、水温和溶氧换层。先查原塘投喂与实际摄食层，不固定钓浮。</w:t>
      </w:r>
    </w:p>
    <w:p>
      <w:r>
        <w:rPr>
          <w:sz w:val="19"/>
        </w:rPr>
        <w:t>生物学与行为依据 [S20] [S01]。下表的线钩、漂重和长度为C类实务起点，适用于可正常遛鱼并使用抄网的条件。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2304"/>
        <w:gridCol w:w="1584"/>
        <w:gridCol w:w="2520"/>
        <w:gridCol w:w="2866"/>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19"/>
              </w:rPr>
              <w:t>单尾体重</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竿与装备</w:t>
            </w:r>
          </w:p>
        </w:tc>
        <w:tc>
          <w:tcPr>
            <w:tcW w:type="dxa" w:w="1584"/>
            <w:vAlign w:val="center"/>
            <w:shd w:fill="16394D"/>
          </w:tcPr>
          <w:p>
            <w:pPr>
              <w:spacing w:after="40" w:before="20" w:line="259" w:lineRule="auto"/>
              <w:jc w:val="left"/>
            </w:pPr>
            <w:r>
              <w:rPr>
                <w:rFonts w:ascii="Noto Sans CJK SC" w:hAnsi="Noto Sans CJK SC" w:eastAsia="Noto Sans CJK SC"/>
                <w:b/>
                <w:color w:val="FFFFFF"/>
                <w:sz w:val="19"/>
              </w:rPr>
              <w:t>主线与子线</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鱼钩候选</w:t>
            </w:r>
          </w:p>
        </w:tc>
        <w:tc>
          <w:tcPr>
            <w:tcW w:type="dxa" w:w="2866"/>
            <w:vAlign w:val="center"/>
            <w:shd w:fill="16394D"/>
          </w:tcPr>
          <w:p>
            <w:pPr>
              <w:spacing w:after="40" w:before="20" w:line="259" w:lineRule="auto"/>
              <w:jc w:val="left"/>
            </w:pPr>
            <w:r>
              <w:rPr>
                <w:rFonts w:ascii="Noto Sans CJK SC" w:hAnsi="Noto Sans CJK SC" w:eastAsia="Noto Sans CJK SC"/>
                <w:b/>
                <w:color w:val="FFFFFF"/>
                <w:sz w:val="19"/>
              </w:rPr>
              <w:t>吃铅与单支子线</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1–3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4.5–5.4 m，28调综合/鲤竿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尼龙3–4号</w:t>
              <w:br/>
              <w:t>子 尼龙2–3号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厚条伊势尼7–9号；挂1–2粒玉米仍露钩门</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2–4 g</w:t>
              <w:br/>
              <w:t>单支25–40 cm；双钩差3–5 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3–5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5.4–6.3 m，28调偏硬、腰力足</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尼龙5–6号</w:t>
              <w:br/>
              <w:t>子 尼龙3–4号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厚条伊势尼9–11号；玉米2–3粒或6–10 mm颗粒</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3–5 g</w:t>
              <w:br/>
              <w:t>单支30–50 cm；双钩差5–8 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5–10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6.3–7.2 m大物手竿；大水面优先3.6–3.9 m带轮竿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尼龙8–10号</w:t>
              <w:br/>
              <w:t>子 尼龙5–6号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厚条伊势尼11–14号；饵不可塞满钩门</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4–7 g</w:t>
              <w:br/>
              <w:t>单支40–60 cm；草区可单钩</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10–20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7.2–8.1 m巨物手竿；允许时优先3.6–3.9 m带轮竿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尼龙12–16号</w:t>
              <w:br/>
              <w:t>子 尼龙8–12号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厚条伊势尼型14–18号；国产16–18号须实物核查</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手竿5–10 g；带轮沉底可无漂</w:t>
              <w:br/>
              <w:t>手竿单支50–80 cm；带轮沉底20–35 cm</w:t>
            </w:r>
          </w:p>
        </w:tc>
      </w:tr>
    </w:tbl>
    <w:p>
      <w:pPr>
        <w:spacing w:after="0"/>
      </w:pPr>
      <w:r>
        <w:rPr>
          <w:sz w:val="6"/>
        </w:rPr>
      </w:r>
    </w:p>
    <w:p>
      <w:r>
        <w:rPr>
          <w:b/>
          <w:sz w:val="19"/>
        </w:rPr>
        <w:t>1–3 kg档：</w:t>
      </w:r>
      <w:r>
        <w:rPr>
          <w:sz w:val="19"/>
        </w:rPr>
        <w:t>净水、无障碍起点；抢鱼取上限，大鱼抄网入护。</w:t>
      </w:r>
    </w:p>
    <w:p>
      <w:r>
        <w:rPr>
          <w:b/>
          <w:sz w:val="19"/>
        </w:rPr>
        <w:t>3–5 kg档：</w:t>
      </w:r>
      <w:r>
        <w:rPr>
          <w:sz w:val="19"/>
        </w:rPr>
        <w:t>先改饵大小和姿态；有结强余量才减一档子线。</w:t>
      </w:r>
    </w:p>
    <w:p>
      <w:r>
        <w:rPr>
          <w:b/>
          <w:sz w:val="19"/>
        </w:rPr>
        <w:t>5–10 kg档：</w:t>
      </w:r>
      <w:r>
        <w:rPr>
          <w:sz w:val="19"/>
        </w:rPr>
        <w:t>带轮泄力按湿态结强1/4—1/3并服从厂家限制。</w:t>
      </w:r>
    </w:p>
    <w:p>
      <w:r>
        <w:rPr>
          <w:b/>
          <w:sz w:val="19"/>
        </w:rPr>
        <w:t>10–20 kg档：</w:t>
      </w:r>
      <w:r>
        <w:rPr>
          <w:sz w:val="19"/>
        </w:rPr>
        <w:t>优先带轮；泄力按湿态结强1/4—1/3及厂家限制，无遛鱼空间先换位。</w:t>
      </w:r>
    </w:p>
    <w:p>
      <w:pPr>
        <w:pStyle w:val="Heading2"/>
      </w:pPr>
      <w:r>
        <w:t>本鱼种需要避免的误判</w:t>
      </w:r>
    </w:p>
    <w:p>
      <w:r>
        <w:rPr>
          <w:sz w:val="19"/>
        </w:rPr>
        <w:t>• 固定钓浮或只用草饵，忽略实际摄食层与颗粒习惯。</w:t>
      </w:r>
    </w:p>
    <w:p>
      <w:r>
        <w:rPr>
          <w:sz w:val="19"/>
        </w:rPr>
        <w:t>• 滑口即极细线，忽略鱼体、障碍和湿态结强。</w:t>
      </w:r>
    </w:p>
    <w:p>
      <w:r>
        <w:rPr>
          <w:sz w:val="19"/>
        </w:rPr>
        <w:t>• 大饵塞满钩门、抛满竿拔河，或把竿调性当负荷保证。</w:t>
      </w:r>
    </w:p>
    <w:p>
      <w:pPr>
        <w:pStyle w:val="Heading1"/>
        <w:pageBreakBefore/>
      </w:pPr>
      <w:r>
        <w:t>草鱼生口与滑口搭配</w:t>
      </w:r>
    </w:p>
    <w:p>
      <w:r>
        <w:t>生口鱼需先确认已恢复摄食。滑口优化也要服从水环境、鱼体与装备强度；初始节奏和窝量按现场饵芯、鱼讯与实际消耗调整。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4385"/>
        <w:gridCol w:w="4385"/>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20"/>
              </w:rPr>
              <w:t>项目</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生口且正常摄食</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滑口或明确受钓压</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基础饵与备选</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优先原塘颗粒或嫩玉米，单钩1–3粒；看见实际吃草再试嫩草小束，露钩尖。小药不作默认项。</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熟悉嫩玉米或软化原塘颗粒作基准，先试单粒小饵并露钩门。软饵要能到目标层、入口易散；味型需现场验证。</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钓层与呈现</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底钓或离底10–30 cm试起；出现中层正口再每20–30 cm找层。抛投频率跟随进食，不把浮头和撞线当抢食。</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减落水声和无效抛投，试窝边；饵轻触底，必要时单钩。子线可在本档内加长，缠绕或信号拖延则缩回。</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频率和补窝</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先50–100 g小窝；持续正口再每3–5分钟补10–20 g，没消耗或全塘停口即暂停。仅为试验量。</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先20–50 g散点小窝；实际消耗后再续，例如正口获鱼后补5–10 g。鱼星不等于需要加窝。</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何时调整</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持续正口取钩线上限；鱼层变化先调深度；入窝不吃先比饵大小、软硬和挂法。新鱼也可能运输应激。</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一次只改一项：位置/水层→饵大小软硬→钩饵姿态→线径。空竿先查蹭线和钩门，脱钩先查钩尖、伤嘴及刺鱼力度。</w:t>
            </w:r>
          </w:p>
        </w:tc>
      </w:tr>
    </w:tbl>
    <w:p>
      <w:pPr>
        <w:spacing w:after="0"/>
      </w:pPr>
      <w:r>
        <w:rPr>
          <w:sz w:val="6"/>
        </w:rPr>
      </w:r>
    </w:p>
    <w:p>
      <w:pPr>
        <w:pStyle w:val="Heading2"/>
      </w:pPr>
      <w:r>
        <w:t>执行时保持一份基准</w:t>
      </w:r>
    </w:p>
    <w:p>
      <w:r>
        <w:t>先完成一次带饵调漂和近岸状态检查。每次只改一项；鱼层改变先重校饵位，饵团改变先重校饵重。连续正口后保持主要变量，连续空竿、外挂或断线则按诊断表回查。</w:t>
      </w:r>
    </w:p>
    <w:p>
      <w:pPr>
        <w:pStyle w:val="Heading1"/>
        <w:pageBreakBefore/>
      </w:pPr>
      <w:r>
        <w:t>草鱼现场方案</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黑坑生口抢鱼</w:t>
              <w:br/>
              <w:t>投鱼后已恢复摄食，正口连续</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3–5 kg用6+4号、伊势尼10–11号、3–5 g漂</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原塘颗粒或2粒嫩玉米</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稳落点、小量续窝；明确截口再找层，中鱼带离窝后遛</w:t>
              <w:br/>
              <w:t>调整：正口连续维持；空竿/蹭线增多或全塘停口时降频查层</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黑坑滑口回锅</w:t>
              <w:br/>
              <w:t>捕放频繁、嘴伤，窝中有鱼却少正口</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3–5 kg用5+3号、伊势尼9号、3–4 g漂、40–50 cm子线</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单粒嫩玉米与软化颗粒对照</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窝边、小饵、减噪，饵轻触底；同落点等时段比较</w:t>
              <w:br/>
              <w:t>调整：空竿先查蹭线；断线/嘴裂查配套与刺鱼冲击</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低温或骤降温</w:t>
              <w:br/>
              <w:t>水温明显下降，摄食变慢</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保留体重所需强度；能抛准时漂取下半档</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1粒嫩玉米或小份熟悉软颗粒</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减窝降频，比避风、温稳且氧足水层；以15–30分钟检查段记录</w:t>
              <w:br/>
              <w:t>调整：稳定正口后加量；全塘无摄食时减少投入</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流水/走水</w:t>
              <w:br/>
              <w:t>漂持续横移、饵位不稳定</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按体重配线；漂5–8 g，必要时跑铅或带轮滑铅</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挂牢玉米或耐泡颗粒</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优先缓流交界，先稳饵；流快时缩小子线摆幅</w:t>
              <w:br/>
              <w:t>调整：漂持续拖没或铅滚动，改缓流位置/沉底结构</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肥水臭底</w:t>
              <w:br/>
              <w:t>陷泥，或近底DO低且离底出现正口</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校验饵重；每20–30 cm离底试探</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少量轻饵玉米或软颗粒</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比较硬底边缘、增氧影响区；DO同时测表层和近底</w:t>
              <w:br/>
              <w:t>调整：臭味不能确认缺氧；近底不适时先换位/层</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草鱼现场方案 续</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野钓草边</w:t>
              <w:br/>
              <w:t>见新咬痕或吃草，且有出鱼通道</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5–10 kg用8–10+5–6号、伊势尼12–14号，优先单钩</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已观察鱼吃的嫩草小束；玉米对照</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避开密草中心，沿边留遛鱼方向；可钓实际摄食层</w:t>
              <w:br/>
              <w:t>调整：鱼钻障碍且无法转向，换位/升级带轮</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野钓大水面巨物</w:t>
              <w:br/>
              <w:t>预期10–20 kg，允许带轮并有遛鱼空间</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3.6–3.9 m带轮竿；12–16+8–12号</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熟悉玉米/颗粒，单钩滑铅挂法先检验</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泄力按湿态结强1/4—1/3及厂家限制；余线、竿架、抄网配足</w:t>
              <w:br/>
              <w:t>调整：擦伤线段即换；余线下降及时调整站位</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5 青鱼基础装备</w:t>
      </w:r>
    </w:p>
    <w:p>
      <w:r>
        <w:t>成鱼多在底部摄食螺贝，也能适应养殖颗粒。先查投喂史与底部环境；底栖不等于死守臭底。回锅、伤嘴和环境异常应分别判断。</w:t>
      </w:r>
    </w:p>
    <w:p>
      <w:r>
        <w:rPr>
          <w:sz w:val="19"/>
        </w:rPr>
        <w:t>生物学与行为依据 [S24] [S25]。下表的线钩、漂重和长度为C类实务起点，适用于可正常遛鱼并使用抄网的条件。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2304"/>
        <w:gridCol w:w="1584"/>
        <w:gridCol w:w="2520"/>
        <w:gridCol w:w="2866"/>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19"/>
              </w:rPr>
              <w:t>单尾体重</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竿与装备</w:t>
            </w:r>
          </w:p>
        </w:tc>
        <w:tc>
          <w:tcPr>
            <w:tcW w:type="dxa" w:w="1584"/>
            <w:vAlign w:val="center"/>
            <w:shd w:fill="16394D"/>
          </w:tcPr>
          <w:p>
            <w:pPr>
              <w:spacing w:after="40" w:before="20" w:line="259" w:lineRule="auto"/>
              <w:jc w:val="left"/>
            </w:pPr>
            <w:r>
              <w:rPr>
                <w:rFonts w:ascii="Noto Sans CJK SC" w:hAnsi="Noto Sans CJK SC" w:eastAsia="Noto Sans CJK SC"/>
                <w:b/>
                <w:color w:val="FFFFFF"/>
                <w:sz w:val="19"/>
              </w:rPr>
              <w:t>主线与子线</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鱼钩候选</w:t>
            </w:r>
          </w:p>
        </w:tc>
        <w:tc>
          <w:tcPr>
            <w:tcW w:type="dxa" w:w="2866"/>
            <w:vAlign w:val="center"/>
            <w:shd w:fill="16394D"/>
          </w:tcPr>
          <w:p>
            <w:pPr>
              <w:spacing w:after="40" w:before="20" w:line="259" w:lineRule="auto"/>
              <w:jc w:val="left"/>
            </w:pPr>
            <w:r>
              <w:rPr>
                <w:rFonts w:ascii="Noto Sans CJK SC" w:hAnsi="Noto Sans CJK SC" w:eastAsia="Noto Sans CJK SC"/>
                <w:b/>
                <w:color w:val="FFFFFF"/>
                <w:sz w:val="19"/>
              </w:rPr>
              <w:t>吃铅与单支子线</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1–3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5.4–6.3 m，28调偏硬鲤竿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尼龙4–5号</w:t>
              <w:br/>
              <w:t>子 尼龙2.5–3号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厚条伊势尼8–10号；配小螺/颗粒</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3–5 g</w:t>
              <w:br/>
              <w:t>单支25–40 cm；双钩差5–8 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3–5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5.4–6.3 m大物/鲤竿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尼龙6–8号</w:t>
              <w:br/>
              <w:t>子 尼龙4–5号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厚条伊势尼10–12号</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4–6 g</w:t>
              <w:br/>
              <w:t>单支30–50 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5–10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6.3–7.2 m大物手竿；开放大水面可带轮</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尼龙10–12号</w:t>
              <w:br/>
              <w:t>子 尼龙6–8号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厚条伊势尼12–14号；大螺须匹配钩门</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5–8 g</w:t>
              <w:br/>
              <w:t>单支40–60 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10–20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7.2–8.1 m巨物手竿；优先3.6–3.9 m带轮竿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尼龙14–18号</w:t>
              <w:br/>
              <w:t>子 尼龙10–12号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厚条伊势尼型14–18号；核查钩门和条径</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手竿6–12 g；带轮沉底可无漂</w:t>
              <w:br/>
              <w:t>手竿单支50–80 cm；带轮20–40 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20–40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优先3.6–3.9 m重型带轮竿；限手竿用8.1–10 m巨物竿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带轮尼龙18–24号；手竿20–24号</w:t>
              <w:br/>
              <w:t>子 尼龙12–16号；磨蚀区可至18号，须重新配套</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厚条伊势尼型18–22号或等强度大物单钩；核查实物</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手竿8–15 g；带轮沉底无漂</w:t>
              <w:br/>
              <w:t>手竿单支60–100 cm；带轮25–40 cm</w:t>
            </w:r>
          </w:p>
        </w:tc>
      </w:tr>
    </w:tbl>
    <w:p>
      <w:pPr>
        <w:spacing w:after="0"/>
      </w:pPr>
      <w:r>
        <w:rPr>
          <w:sz w:val="6"/>
        </w:rPr>
      </w:r>
    </w:p>
    <w:p>
      <w:r>
        <w:rPr>
          <w:b/>
          <w:sz w:val="19"/>
        </w:rPr>
        <w:t>装备补充：</w:t>
      </w:r>
      <w:r>
        <w:rPr>
          <w:sz w:val="19"/>
        </w:rPr>
        <w:t>各档均须按湿态结强、钩与连接件以及厂家限制复核。10千克以上优先带轮方案；初始泄力参考整套最弱湿态结强的1/4至1/3，并服从竿轮允许负荷。余线不足或无控鱼通道时先换装备或钓位。</w:t>
      </w:r>
    </w:p>
    <w:p>
      <w:pPr>
        <w:pStyle w:val="Heading2"/>
      </w:pPr>
      <w:r>
        <w:t>本鱼种需要避免的误判</w:t>
      </w:r>
    </w:p>
    <w:p>
      <w:r>
        <w:rPr>
          <w:sz w:val="19"/>
        </w:rPr>
        <w:t>• 把天然食螺当成所有塘都只吃螺，忽略颗粒驯食与塘规。</w:t>
      </w:r>
    </w:p>
    <w:p>
      <w:r>
        <w:rPr>
          <w:sz w:val="19"/>
        </w:rPr>
        <w:t>• 底栖即死守臭底；不查底氧与陷泥便持续加料。</w:t>
      </w:r>
    </w:p>
    <w:p>
      <w:r>
        <w:rPr>
          <w:sz w:val="19"/>
        </w:rPr>
        <w:t>• 巨物滑口即细线或锁死泄力；把测试曲线、鱼重和安全负荷混用。</w:t>
      </w:r>
    </w:p>
    <w:p>
      <w:pPr>
        <w:pStyle w:val="Heading1"/>
        <w:pageBreakBefore/>
      </w:pPr>
      <w:r>
        <w:t>青鱼生口与滑口搭配</w:t>
      </w:r>
    </w:p>
    <w:p>
      <w:r>
        <w:t>生口鱼需先确认已恢复摄食。滑口优化也要服从水环境、鱼体与装备强度；初始节奏和窝量按现场饵芯、鱼讯与实际消耗调整。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4385"/>
        <w:gridCol w:w="4385"/>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20"/>
              </w:rPr>
              <w:t>项目</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生口且正常摄食</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滑口或明确受钓压</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基础饵与备选</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核实原塘投喂：吃颗粒用熟悉颗粒，食螺用允许且来源可靠的小螺。可比8–14 mm颗粒与小螺；玉米需本塘证据。</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熟悉颗粒与常用螺作基准，先比大小软硬。禁螺塘用允许饵；伤嘴可试小软颗粒，不能保证诱开口或治伤。</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钓层与呈现</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硬底或软硬交界底钓；带螺重找底，防陷泥。连续正口稳点接鱼，中鱼带离窝再遛；不能因新鱼就盲目高频。</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减砸窝，试窝边和硬底过渡；单钩减缠绕误挂。饵轻触底，子线不堆团；扬竿信号以本塘真实正口校准。</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频率和补窝</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先100–200 g颗粒或少量同规格螺试窝；确定摄食后每上1–2尾少量续补。塘规、鱼量和底质不同需调整。</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先20–60 g颗粒或几枚小螺散点试，见摄食才续补。无口不持续倾倒螺和颗粒。</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何时调整</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碰饵不中先查螺大小、钩门遮挡、挂点和钩尖。先改大小挂法再换饵种；连续正口取体重档上限。</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先查底氧、全塘摄食和鱼伤，再换位、缩饵、改挂法；无障碍且结强有余量才降一档线。巨物不能滑口即极细线。</w:t>
            </w:r>
          </w:p>
        </w:tc>
      </w:tr>
    </w:tbl>
    <w:p>
      <w:pPr>
        <w:spacing w:after="0"/>
      </w:pPr>
      <w:r>
        <w:rPr>
          <w:sz w:val="6"/>
        </w:rPr>
      </w:r>
    </w:p>
    <w:p>
      <w:pPr>
        <w:pStyle w:val="Heading2"/>
      </w:pPr>
      <w:r>
        <w:t>执行时保持一份基准</w:t>
      </w:r>
    </w:p>
    <w:p>
      <w:r>
        <w:t>先完成一次带饵调漂和近岸状态检查。每次只改一项；鱼层改变先重校饵位，饵团改变先重校饵重。连续正口后保持主要变量，连续空竿、外挂或断线则按诊断表回查。</w:t>
      </w:r>
    </w:p>
    <w:p>
      <w:pPr>
        <w:pStyle w:val="Heading1"/>
        <w:pageBreakBefore/>
      </w:pPr>
      <w:r>
        <w:t>青鱼现场方案</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黑坑生口抢鱼</w:t>
              <w:br/>
              <w:t>已恢复进食，正口连续</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5–10 kg用12+8号、伊势尼14号、6–8 g漂、40–60 cm子线</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原塘颗粒或实际投喂螺类</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锁定硬底边界，小量续窝；中鱼带离窝，不硬拔飞鱼</w:t>
              <w:br/>
              <w:t>调整：口降查水层/饵态；连续断线查配套操作</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黑坑巨物滑口</w:t>
              <w:br/>
              <w:t>10–20 kg回锅，活动可见但少吃口</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14–18+10–12号；强钩14–18号，6–10 g漂、60–80 cm子线</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小一规格的熟悉颗粒或螺</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窝边、减噪、少窝；依次比位置、饵大小、钩饵姿态</w:t>
              <w:br/>
              <w:t>调整：全塘停口或聚增氧区不吃，先查环境</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低温/持续降温</w:t>
              <w:br/>
              <w:t>水温下降，进食间隔变长</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保留体重所需强度；按风浪减漂但稳饵</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较小熟悉颗粒或小螺</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减窝、延长观察，比较温稳且氧足的台阶；不设固定停口温度</w:t>
              <w:br/>
              <w:t>调整：多段无摄食且邻位相同则减投入；正口恢复再续窝</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流水/河道缓流交界</w:t>
              <w:br/>
              <w:t>走水，底部有螺贝或砾石</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带轮滑铅单钩，子线25–40 cm；铅重服从稳饵与竿投重</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挂稳的小螺或耐泡颗粒，须规则允许</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选主流旁缓带，查卡石及磨线</w:t>
              <w:br/>
              <w:t>调整：反复挂底/磨毛就换位或结构，不无限加铅锁泄力</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黑坑臭底/厚淤泥</w:t>
              <w:br/>
              <w:t>饵陷泥或近底DO低于上层</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减饵重、单钩轻触泥面；有证据才每10–20 cm试离底</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熟悉颗粒；重螺重点查泥面状态</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找硬底台阶和有效增氧区，避免饵埋臭泥</w:t>
              <w:br/>
              <w:t>调整：离底无效且全塘停口，复核环境与放鱼史</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青鱼现场方案 续</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野钓螺贝区</w:t>
              <w:br/>
              <w:t>确认青鱼活动、硬底可达且能控鱼</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10–20 kg优先带轮；14–18+10–12号，单钩</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允许的当地螺或熟悉颗粒</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钓硬底边缘，提前确定出鱼通道；不能任鱼钻障碍</w:t>
              <w:br/>
              <w:t>调整：障碍无法控鱼则先换角度/钓位</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20–40 kg巨物专场</w:t>
              <w:br/>
              <w:t>可带轮、开放水域、有抄鱼协作空间</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3.6–3.9 m重型带轮竿；18–24+12–16号、强单钩</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按投喂记录选颗粒或螺，露钩门</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泄力按湿态结强1/4—1/3及厂家限制；预检出线、余线和连接</w:t>
              <w:br/>
              <w:t>调整：负荷不足、线结不稳或无法控鱼/抄鱼时先补齐条件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禁螺/限制饵料黑坑</w:t>
              <w:br/>
              <w:t>塘规禁螺、活饵或部分窝料</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沿用体重档，按颗粒实重重查钩饵状态</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允许的原塘颗粒，泡软或皮筋挂，露钩尖</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比较颗粒大小、软硬、投喂位置</w:t>
              <w:br/>
              <w:t>调整：入水即散或皮筋遮钩，先修挂法再比较效果</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6 罗非基础装备</w:t>
      </w:r>
    </w:p>
    <w:p>
      <w:r>
        <w:t>罗非须确认种系。尼罗罗非广食，可利用藻类、无脊椎和碎屑；23℃不等于停口。生口也可能有运输应激，滑口弱口亦可能由低氧、病伤或饱食引起。下列数值为实务起点。</w:t>
      </w:r>
    </w:p>
    <w:p>
      <w:r>
        <w:rPr>
          <w:sz w:val="19"/>
        </w:rPr>
        <w:t>生物学与行为依据 [S28] [S29]。下表的线钩、漂重和长度为C类实务起点，适用于可正常遛鱼并使用抄网的条件。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008"/>
        <w:gridCol w:w="2304"/>
        <w:gridCol w:w="1584"/>
        <w:gridCol w:w="2520"/>
        <w:gridCol w:w="2866"/>
      </w:tblGrid>
      <w:tr>
        <w:trPr>
          <w:tblHeader/>
          <w:cantSplit/>
        </w:trPr>
        <w:tc>
          <w:tcPr>
            <w:tcW w:type="dxa" w:w="1008"/>
            <w:vAlign w:val="center"/>
            <w:shd w:fill="16394D"/>
          </w:tcPr>
          <w:p>
            <w:pPr>
              <w:spacing w:after="40" w:before="20" w:line="259" w:lineRule="auto"/>
              <w:jc w:val="center"/>
            </w:pPr>
            <w:r>
              <w:rPr>
                <w:rFonts w:ascii="Noto Sans CJK SC" w:hAnsi="Noto Sans CJK SC" w:eastAsia="Noto Sans CJK SC"/>
                <w:b/>
                <w:color w:val="FFFFFF"/>
                <w:sz w:val="19"/>
              </w:rPr>
              <w:t>单尾体重</w:t>
            </w:r>
          </w:p>
        </w:tc>
        <w:tc>
          <w:tcPr>
            <w:tcW w:type="dxa" w:w="2304"/>
            <w:vAlign w:val="center"/>
            <w:shd w:fill="16394D"/>
          </w:tcPr>
          <w:p>
            <w:pPr>
              <w:spacing w:after="40" w:before="20" w:line="259" w:lineRule="auto"/>
              <w:jc w:val="left"/>
            </w:pPr>
            <w:r>
              <w:rPr>
                <w:rFonts w:ascii="Noto Sans CJK SC" w:hAnsi="Noto Sans CJK SC" w:eastAsia="Noto Sans CJK SC"/>
                <w:b/>
                <w:color w:val="FFFFFF"/>
                <w:sz w:val="19"/>
              </w:rPr>
              <w:t>竿与装备</w:t>
            </w:r>
          </w:p>
        </w:tc>
        <w:tc>
          <w:tcPr>
            <w:tcW w:type="dxa" w:w="1584"/>
            <w:vAlign w:val="center"/>
            <w:shd w:fill="16394D"/>
          </w:tcPr>
          <w:p>
            <w:pPr>
              <w:spacing w:after="40" w:before="20" w:line="259" w:lineRule="auto"/>
              <w:jc w:val="left"/>
            </w:pPr>
            <w:r>
              <w:rPr>
                <w:rFonts w:ascii="Noto Sans CJK SC" w:hAnsi="Noto Sans CJK SC" w:eastAsia="Noto Sans CJK SC"/>
                <w:b/>
                <w:color w:val="FFFFFF"/>
                <w:sz w:val="19"/>
              </w:rPr>
              <w:t>主线与子线</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鱼钩候选</w:t>
            </w:r>
          </w:p>
        </w:tc>
        <w:tc>
          <w:tcPr>
            <w:tcW w:type="dxa" w:w="2866"/>
            <w:vAlign w:val="center"/>
            <w:shd w:fill="16394D"/>
          </w:tcPr>
          <w:p>
            <w:pPr>
              <w:spacing w:after="40" w:before="20" w:line="259" w:lineRule="auto"/>
              <w:jc w:val="left"/>
            </w:pPr>
            <w:r>
              <w:rPr>
                <w:rFonts w:ascii="Noto Sans CJK SC" w:hAnsi="Noto Sans CJK SC" w:eastAsia="Noto Sans CJK SC"/>
                <w:b/>
                <w:color w:val="FFFFFF"/>
                <w:sz w:val="19"/>
              </w:rPr>
              <w:t>吃铅与单支子线</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0.2–0.5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3.6–4.5 m有缓冲台钓竿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尼龙1.5号</w:t>
              <w:br/>
              <w:t>子 尼龙0.8–1.0号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轻至中条伊势尼3–4号或同钩门无倒刺钩</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1.2–1.8 g</w:t>
              <w:br/>
              <w:t>单支12–18 cm；双钩差2–3 cm</w:t>
            </w:r>
          </w:p>
        </w:tc>
      </w:tr>
      <w:tr>
        <w:trPr>
          <w:cantSplit/>
        </w:trPr>
        <w:tc>
          <w:tcPr>
            <w:tcW w:type="dxa" w:w="1008"/>
            <w:vAlign w:val="center"/>
            <w:shd w:fill="F1F5F7"/>
          </w:tcPr>
          <w:p>
            <w:pPr>
              <w:spacing w:after="40" w:before="20" w:line="259" w:lineRule="auto"/>
              <w:jc w:val="center"/>
            </w:pPr>
            <w:r>
              <w:rPr>
                <w:rFonts w:ascii="Noto Sans CJK SC" w:hAnsi="Noto Sans CJK SC" w:eastAsia="Noto Sans CJK SC"/>
                <w:b w:val="0"/>
                <w:color w:val="17252C"/>
                <w:sz w:val="19"/>
              </w:rPr>
              <w:t>0.5–1.5 kg</w:t>
            </w:r>
          </w:p>
        </w:tc>
        <w:tc>
          <w:tcPr>
            <w:tcW w:type="dxa" w:w="2304"/>
            <w:vAlign w:val="center"/>
            <w:shd w:fill="F1F5F7"/>
          </w:tcPr>
          <w:p>
            <w:pPr>
              <w:spacing w:after="40" w:before="20" w:line="259" w:lineRule="auto"/>
              <w:jc w:val="left"/>
            </w:pPr>
            <w:r>
              <w:rPr>
                <w:rFonts w:ascii="Noto Sans CJK SC" w:hAnsi="Noto Sans CJK SC" w:eastAsia="Noto Sans CJK SC"/>
                <w:b w:val="0"/>
                <w:color w:val="17252C"/>
                <w:sz w:val="19"/>
              </w:rPr>
              <w:t>3.9–4.8 m兼顾缓冲与回鱼的竿</w:t>
            </w:r>
          </w:p>
        </w:tc>
        <w:tc>
          <w:tcPr>
            <w:tcW w:type="dxa" w:w="1584"/>
            <w:vAlign w:val="center"/>
            <w:shd w:fill="F1F5F7"/>
          </w:tcPr>
          <w:p>
            <w:pPr>
              <w:spacing w:after="40" w:before="20" w:line="259" w:lineRule="auto"/>
              <w:jc w:val="left"/>
            </w:pPr>
            <w:r>
              <w:rPr>
                <w:rFonts w:ascii="Noto Sans CJK SC" w:hAnsi="Noto Sans CJK SC" w:eastAsia="Noto Sans CJK SC"/>
                <w:b w:val="0"/>
                <w:color w:val="17252C"/>
                <w:sz w:val="19"/>
              </w:rPr>
              <w:t>尼龙2.0–2.5号</w:t>
              <w:br/>
              <w:t>子 尼龙1.2–1.5号</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中条伊势尼5–6号，嘴伤轻口先缩饵查钩重</w:t>
            </w:r>
          </w:p>
        </w:tc>
        <w:tc>
          <w:tcPr>
            <w:tcW w:type="dxa" w:w="2866"/>
            <w:vAlign w:val="center"/>
            <w:shd w:fill="F1F5F7"/>
          </w:tcPr>
          <w:p>
            <w:pPr>
              <w:spacing w:after="40" w:before="20" w:line="259" w:lineRule="auto"/>
              <w:jc w:val="left"/>
            </w:pPr>
            <w:r>
              <w:rPr>
                <w:rFonts w:ascii="Noto Sans CJK SC" w:hAnsi="Noto Sans CJK SC" w:eastAsia="Noto Sans CJK SC"/>
                <w:b w:val="0"/>
                <w:color w:val="17252C"/>
                <w:sz w:val="19"/>
              </w:rPr>
              <w:t>1.5–2.5 g</w:t>
              <w:br/>
              <w:t>单支15–22 cm；双钩差3–4 cm</w:t>
            </w:r>
          </w:p>
        </w:tc>
      </w:tr>
      <w:tr>
        <w:trPr>
          <w:cantSplit/>
        </w:trPr>
        <w:tc>
          <w:tcPr>
            <w:tcW w:type="dxa" w:w="1008"/>
            <w:vAlign w:val="center"/>
            <w:shd w:fill="FFFFFF"/>
          </w:tcPr>
          <w:p>
            <w:pPr>
              <w:spacing w:after="40" w:before="20" w:line="259" w:lineRule="auto"/>
              <w:jc w:val="center"/>
            </w:pPr>
            <w:r>
              <w:rPr>
                <w:rFonts w:ascii="Noto Sans CJK SC" w:hAnsi="Noto Sans CJK SC" w:eastAsia="Noto Sans CJK SC"/>
                <w:b w:val="0"/>
                <w:color w:val="17252C"/>
                <w:sz w:val="19"/>
              </w:rPr>
              <w:t>1.5–3 kg</w:t>
            </w:r>
          </w:p>
        </w:tc>
        <w:tc>
          <w:tcPr>
            <w:tcW w:type="dxa" w:w="2304"/>
            <w:vAlign w:val="center"/>
            <w:shd w:fill="FFFFFF"/>
          </w:tcPr>
          <w:p>
            <w:pPr>
              <w:spacing w:after="40" w:before="20" w:line="259" w:lineRule="auto"/>
              <w:jc w:val="left"/>
            </w:pPr>
            <w:r>
              <w:rPr>
                <w:rFonts w:ascii="Noto Sans CJK SC" w:hAnsi="Noto Sans CJK SC" w:eastAsia="Noto Sans CJK SC"/>
                <w:b w:val="0"/>
                <w:color w:val="17252C"/>
                <w:sz w:val="19"/>
              </w:rPr>
              <w:t>4.5–5.4 m有腰力及缓冲的竿</w:t>
            </w:r>
          </w:p>
        </w:tc>
        <w:tc>
          <w:tcPr>
            <w:tcW w:type="dxa" w:w="1584"/>
            <w:vAlign w:val="center"/>
            <w:shd w:fill="FFFFFF"/>
          </w:tcPr>
          <w:p>
            <w:pPr>
              <w:spacing w:after="40" w:before="20" w:line="259" w:lineRule="auto"/>
              <w:jc w:val="left"/>
            </w:pPr>
            <w:r>
              <w:rPr>
                <w:rFonts w:ascii="Noto Sans CJK SC" w:hAnsi="Noto Sans CJK SC" w:eastAsia="Noto Sans CJK SC"/>
                <w:b w:val="0"/>
                <w:color w:val="17252C"/>
                <w:sz w:val="19"/>
              </w:rPr>
              <w:t>尼龙3.0–4.0号</w:t>
              <w:br/>
              <w:t>子 尼龙2.0–2.5号</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中粗条伊势尼7–8号</w:t>
            </w:r>
          </w:p>
        </w:tc>
        <w:tc>
          <w:tcPr>
            <w:tcW w:type="dxa" w:w="2866"/>
            <w:vAlign w:val="center"/>
            <w:shd w:fill="FFFFFF"/>
          </w:tcPr>
          <w:p>
            <w:pPr>
              <w:spacing w:after="40" w:before="20" w:line="259" w:lineRule="auto"/>
              <w:jc w:val="left"/>
            </w:pPr>
            <w:r>
              <w:rPr>
                <w:rFonts w:ascii="Noto Sans CJK SC" w:hAnsi="Noto Sans CJK SC" w:eastAsia="Noto Sans CJK SC"/>
                <w:b w:val="0"/>
                <w:color w:val="17252C"/>
                <w:sz w:val="19"/>
              </w:rPr>
              <w:t>2.0–3.0 g</w:t>
              <w:br/>
              <w:t>单支18–25 cm；双钩差3–5 cm</w:t>
            </w:r>
          </w:p>
        </w:tc>
      </w:tr>
    </w:tbl>
    <w:p>
      <w:pPr>
        <w:spacing w:after="0"/>
      </w:pPr>
      <w:r>
        <w:rPr>
          <w:sz w:val="6"/>
        </w:rPr>
      </w:r>
    </w:p>
    <w:p>
      <w:r>
        <w:rPr>
          <w:b/>
          <w:sz w:val="19"/>
        </w:rPr>
        <w:t>0.2–0.5 kg档：</w:t>
      </w:r>
      <w:r>
        <w:rPr>
          <w:sz w:val="19"/>
        </w:rPr>
        <w:t>饵团4–6 mm起；生口快鱼可升线，不按本表飞鱼。</w:t>
      </w:r>
    </w:p>
    <w:p>
      <w:r>
        <w:rPr>
          <w:b/>
          <w:sz w:val="19"/>
        </w:rPr>
        <w:t>0.5–1.5 kg档：</w:t>
      </w:r>
      <w:r>
        <w:rPr>
          <w:sz w:val="19"/>
        </w:rPr>
        <w:t>饵团6–8 mm起；2–3斤属此档；硬竿、障碍或暴冲可升线。</w:t>
      </w:r>
    </w:p>
    <w:p>
      <w:r>
        <w:rPr>
          <w:b/>
          <w:sz w:val="19"/>
        </w:rPr>
        <w:t>1.5–3 kg档：</w:t>
      </w:r>
      <w:r>
        <w:rPr>
          <w:sz w:val="19"/>
        </w:rPr>
        <w:t>饵团7–10 mm起；抄网遛鱼，不因受伤迟钝推定不会冲刺。</w:t>
      </w:r>
    </w:p>
    <w:p>
      <w:pPr>
        <w:pStyle w:val="Heading2"/>
      </w:pPr>
      <w:r>
        <w:t>本鱼种需要避免的误判</w:t>
      </w:r>
    </w:p>
    <w:p>
      <w:r>
        <w:rPr>
          <w:sz w:val="19"/>
        </w:rPr>
        <w:t>• 把全部罗非种系合并，或把23℃、单一气压值当作停口阈值。</w:t>
      </w:r>
    </w:p>
    <w:p>
      <w:r>
        <w:rPr>
          <w:sz w:val="19"/>
        </w:rPr>
        <w:t>• 把泥中重铅位置当泥面；滑口一律细线小钩，却忽略承载与遛鱼。</w:t>
      </w:r>
    </w:p>
    <w:p>
      <w:r>
        <w:rPr>
          <w:sz w:val="19"/>
        </w:rPr>
        <w:t>• 固定肝味重腥迷信；忽略鲜饵保存及塘规；锚中、擦线不计正口。</w:t>
      </w:r>
    </w:p>
    <w:p>
      <w:pPr>
        <w:pStyle w:val="Heading1"/>
        <w:pageBreakBefore/>
      </w:pPr>
      <w:r>
        <w:t>罗非生口与滑口搭配</w:t>
      </w:r>
    </w:p>
    <w:p>
      <w:r>
        <w:t>生口鱼需先确认已恢复摄食。滑口优化也要服从水环境、鱼体与装备强度；初始节奏和窝量按现场饵芯、鱼讯与实际消耗调整。</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12"/>
        <w:gridCol w:w="4385"/>
        <w:gridCol w:w="4385"/>
      </w:tblGrid>
      <w:tr>
        <w:trPr>
          <w:tblHeader/>
          <w:cantSplit/>
        </w:trPr>
        <w:tc>
          <w:tcPr>
            <w:tcW w:type="dxa" w:w="1512"/>
            <w:vAlign w:val="center"/>
            <w:shd w:fill="16394D"/>
          </w:tcPr>
          <w:p>
            <w:pPr>
              <w:spacing w:after="40" w:before="20" w:line="259" w:lineRule="auto"/>
              <w:jc w:val="center"/>
            </w:pPr>
            <w:r>
              <w:rPr>
                <w:rFonts w:ascii="Noto Sans CJK SC" w:hAnsi="Noto Sans CJK SC" w:eastAsia="Noto Sans CJK SC"/>
                <w:b/>
                <w:color w:val="FFFFFF"/>
                <w:sz w:val="20"/>
              </w:rPr>
              <w:t>项目</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生口且正常摄食</w:t>
            </w:r>
          </w:p>
        </w:tc>
        <w:tc>
          <w:tcPr>
            <w:tcW w:type="dxa" w:w="4385"/>
            <w:vAlign w:val="center"/>
            <w:shd w:fill="16394D"/>
          </w:tcPr>
          <w:p>
            <w:pPr>
              <w:spacing w:after="40" w:before="20" w:line="259" w:lineRule="auto"/>
              <w:jc w:val="left"/>
            </w:pPr>
            <w:r>
              <w:rPr>
                <w:rFonts w:ascii="Noto Sans CJK SC" w:hAnsi="Noto Sans CJK SC" w:eastAsia="Noto Sans CJK SC"/>
                <w:b/>
                <w:color w:val="FFFFFF"/>
                <w:sz w:val="20"/>
              </w:rPr>
              <w:t>滑口或明确受钓压</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基础饵与备选</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干粉100 g：细磨颗粒70＋正规罗非粉20＋状态粉10；优先确认近期常喂颗粒。软而附钩，30–60秒边缘散、主体在。合法鲜虾或冷冻饵单独作对照。</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同基线饵团缩约三分之一、提高软度、减少立即爆散；先不加香精。嘴伤用能轻吸入的小饵和轻小但有承载的钩，以真实正口检验。</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钓层与呈现</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轻负重找实底，硬底一钩轻触、一钩略离；泥底先离泥5–10 cm，每次调5–10 cm，必要时试20–30 cm。带双饵校准，不套固定调四钓二。</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无障碍且承载可靠才降一档子线；先轻触底与微离底比较，再决定略钝。识别小而稳定的连续位移；频繁擦线先静窝，不反复扫鱼。</w:t>
            </w:r>
          </w:p>
        </w:tc>
      </w:tr>
      <w:tr>
        <w:trPr>
          <w:cantSplit/>
        </w:trPr>
        <w:tc>
          <w:tcPr>
            <w:tcW w:type="dxa" w:w="1512"/>
            <w:vAlign w:val="center"/>
            <w:shd w:fill="FFFFFF"/>
          </w:tcPr>
          <w:p>
            <w:pPr>
              <w:spacing w:after="40" w:before="20" w:line="259" w:lineRule="auto"/>
              <w:jc w:val="center"/>
            </w:pPr>
            <w:r>
              <w:rPr>
                <w:rFonts w:ascii="Noto Sans CJK SC" w:hAnsi="Noto Sans CJK SC" w:eastAsia="Noto Sans CJK SC"/>
                <w:b w:val="0"/>
                <w:color w:val="17252C"/>
                <w:sz w:val="20"/>
              </w:rPr>
              <w:t>频率和补窝</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前5分钟30–45秒一竿，仅钩饵送窝；连续正口后按吃饵速度补。确需颗粒先每次5–10 g。杯试30秒全散则增附钩；90秒仍硬芯则缩软。</w:t>
            </w:r>
          </w:p>
        </w:tc>
        <w:tc>
          <w:tcPr>
            <w:tcW w:type="dxa" w:w="4385"/>
            <w:vAlign w:val="center"/>
            <w:shd w:fill="FFFFFF"/>
          </w:tcPr>
          <w:p>
            <w:pPr>
              <w:spacing w:after="40" w:before="20" w:line="259" w:lineRule="auto"/>
              <w:jc w:val="left"/>
            </w:pPr>
            <w:r>
              <w:rPr>
                <w:rFonts w:ascii="Noto Sans CJK SC" w:hAnsi="Noto Sans CJK SC" w:eastAsia="Noto Sans CJK SC"/>
                <w:b w:val="0"/>
                <w:color w:val="17252C"/>
                <w:sz w:val="20"/>
              </w:rPr>
              <w:t>60–90秒一竿，小量钩饵，不先重窝。提回仍硬大则缩软，完全空钩则调整持钩时间；鱼持续真吃可加快，不永久慢钓。</w:t>
            </w:r>
          </w:p>
        </w:tc>
      </w:tr>
      <w:tr>
        <w:trPr>
          <w:cantSplit/>
        </w:trPr>
        <w:tc>
          <w:tcPr>
            <w:tcW w:type="dxa" w:w="1512"/>
            <w:vAlign w:val="center"/>
            <w:shd w:fill="F1F5F7"/>
          </w:tcPr>
          <w:p>
            <w:pPr>
              <w:spacing w:after="40" w:before="20" w:line="259" w:lineRule="auto"/>
              <w:jc w:val="center"/>
            </w:pPr>
            <w:r>
              <w:rPr>
                <w:rFonts w:ascii="Noto Sans CJK SC" w:hAnsi="Noto Sans CJK SC" w:eastAsia="Noto Sans CJK SC"/>
                <w:b w:val="0"/>
                <w:color w:val="17252C"/>
                <w:sz w:val="20"/>
              </w:rPr>
              <w:t>何时调整</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新放鱼不开口先查运输、入塘和投喂。连续正口可加节奏；顶漂擦线先缩饵、停补、核调钓。有口不中先查钩尖和遮钩门，一次只改一项。</w:t>
            </w:r>
          </w:p>
        </w:tc>
        <w:tc>
          <w:tcPr>
            <w:tcW w:type="dxa" w:w="4385"/>
            <w:vAlign w:val="center"/>
            <w:shd w:fill="F1F5F7"/>
          </w:tcPr>
          <w:p>
            <w:pPr>
              <w:spacing w:after="40" w:before="20" w:line="259" w:lineRule="auto"/>
              <w:jc w:val="left"/>
            </w:pPr>
            <w:r>
              <w:rPr>
                <w:rFonts w:ascii="Noto Sans CJK SC" w:hAnsi="Noto Sans CJK SC" w:eastAsia="Noto Sans CJK SC"/>
                <w:b w:val="0"/>
                <w:color w:val="17252C"/>
                <w:sz w:val="20"/>
              </w:rPr>
              <w:t>分记正口、空竿、嘴外中钩；A→B→A比较单一状态变化。一次上鱼不证明添加剂有效；仅凭弱口不能区分低氧、病伤、应激和回避。</w:t>
            </w:r>
          </w:p>
        </w:tc>
      </w:tr>
    </w:tbl>
    <w:p>
      <w:pPr>
        <w:spacing w:after="0"/>
      </w:pPr>
      <w:r>
        <w:rPr>
          <w:sz w:val="6"/>
        </w:rPr>
      </w:r>
    </w:p>
    <w:p>
      <w:pPr>
        <w:pStyle w:val="Heading2"/>
      </w:pPr>
      <w:r>
        <w:t>执行时保持一份基准</w:t>
      </w:r>
    </w:p>
    <w:p>
      <w:r>
        <w:t>先完成一次带饵调漂和近岸状态检查。每次只改一项；鱼层改变先重校饵位，饵团改变先重校饵重。连续正口后保持主要变量，连续空竿、外挂或断线则按诊断表回查。</w:t>
      </w:r>
    </w:p>
    <w:p>
      <w:pPr>
        <w:pStyle w:val="Heading1"/>
        <w:pageBreakBefore/>
      </w:pPr>
      <w:r>
        <w:t>罗非现场方案</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23℃、2–3斤、绿水臭底</w:t>
              <w:br/>
              <w:t>0.5–1.5 kg罗非；查目标层溶氧和投喂史。</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2.0–2.5＋1.2–1.5号；伊势尼5–6号；1.5–2.5 g漂。</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无额外香精颗粒软饵，6–8 mm或更小。</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离泥5–10 cm起，每次调5–10 cm；30–60秒查持钩。</w:t>
              <w:br/>
              <w:t>调整：异常呼吸先处理水质；23℃或1006 hPa不能确定停口。</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24–30℃、生口积极</w:t>
              <w:br/>
              <w:t>温度稳定，水质正常，无明显运输应激。</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按体重档，快鱼需回鱼时可升线。</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常喂颗粒基线，与罗非饵或合法鲜虾对照。</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硬底轻触；30–45秒一竿起，随正口调快。</w:t>
              <w:br/>
              <w:t>调整：空枪增加先查钩饵大小与鱼层，不先加药。</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20–23℃或降温轻口</w:t>
              <w:br/>
              <w:t>可能仍正常摄食，种系与温度适应影响结果。</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保承载、减饵重；无风浅水取该档较小漂。</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小软持钩，保留原基线。</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60–120秒一竿起，在温度稳定且有正常活动层试。</w:t>
              <w:br/>
              <w:t>调整：无正口先查水质、饱食及应激，勿定必停口或大腥。</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高温肥水、低氧浮头</w:t>
              <w:br/>
              <w:t>集中浮头或呼吸加快，测溶氧确认。</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暂停追口与加窝。</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停止大窝和大量有机粉料。</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联系塘主增氧，停止钓浮头鱼；正常后小量试。</w:t>
              <w:br/>
              <w:t>调整：耐低氧不等于愿摄食，加酸加香不能替代水质处理。</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软泥埋饵、鱼活动正常</w:t>
              <w:br/>
              <w:t>提回饵裹泥，重铅找底可能陷入底泥。</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轻负重复核；离泥5–10 cm，子线取短端。</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轻软低散落，减少下沉大颗粒。</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固定饵味，比较轻触泥、离泥5 cm、离泥10 cm。</w:t>
              <w:br/>
              <w:t>调整：持钩与正口均改善再保留；一次有效不证明问题解决。</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罗非现场方案 续</w:t>
      </w:r>
    </w:p>
    <w:p>
      <w:r>
        <w:t>下列方案以各行条件成立为前提；体重与示例不同，先替换为基础装备表相应体重档，再叠加本行钓法。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944"/>
        <w:gridCol w:w="2520"/>
        <w:gridCol w:w="2088"/>
        <w:gridCol w:w="3730"/>
      </w:tblGrid>
      <w:tr>
        <w:trPr>
          <w:tblHeader/>
          <w:cantSplit/>
        </w:trPr>
        <w:tc>
          <w:tcPr>
            <w:tcW w:type="dxa" w:w="1944"/>
            <w:vAlign w:val="center"/>
            <w:shd w:fill="16394D"/>
          </w:tcPr>
          <w:p>
            <w:pPr>
              <w:spacing w:after="40" w:before="20" w:line="259" w:lineRule="auto"/>
              <w:jc w:val="center"/>
            </w:pPr>
            <w:r>
              <w:rPr>
                <w:rFonts w:ascii="Noto Sans CJK SC" w:hAnsi="Noto Sans CJK SC" w:eastAsia="Noto Sans CJK SC"/>
                <w:b/>
                <w:color w:val="FFFFFF"/>
                <w:sz w:val="19"/>
              </w:rPr>
              <w:t>场景与前提</w:t>
            </w:r>
          </w:p>
        </w:tc>
        <w:tc>
          <w:tcPr>
            <w:tcW w:type="dxa" w:w="2520"/>
            <w:vAlign w:val="center"/>
            <w:shd w:fill="16394D"/>
          </w:tcPr>
          <w:p>
            <w:pPr>
              <w:spacing w:after="40" w:before="20" w:line="259" w:lineRule="auto"/>
              <w:jc w:val="left"/>
            </w:pPr>
            <w:r>
              <w:rPr>
                <w:rFonts w:ascii="Noto Sans CJK SC" w:hAnsi="Noto Sans CJK SC" w:eastAsia="Noto Sans CJK SC"/>
                <w:b/>
                <w:color w:val="FFFFFF"/>
                <w:sz w:val="19"/>
              </w:rPr>
              <w:t>具体线组</w:t>
            </w:r>
          </w:p>
        </w:tc>
        <w:tc>
          <w:tcPr>
            <w:tcW w:type="dxa" w:w="2088"/>
            <w:vAlign w:val="center"/>
            <w:shd w:fill="16394D"/>
          </w:tcPr>
          <w:p>
            <w:pPr>
              <w:spacing w:after="40" w:before="20" w:line="259" w:lineRule="auto"/>
              <w:jc w:val="left"/>
            </w:pPr>
            <w:r>
              <w:rPr>
                <w:rFonts w:ascii="Noto Sans CJK SC" w:hAnsi="Noto Sans CJK SC" w:eastAsia="Noto Sans CJK SC"/>
                <w:b/>
                <w:color w:val="FFFFFF"/>
                <w:sz w:val="19"/>
              </w:rPr>
              <w:t>饵料</w:t>
            </w:r>
          </w:p>
        </w:tc>
        <w:tc>
          <w:tcPr>
            <w:tcW w:type="dxa" w:w="3730"/>
            <w:vAlign w:val="center"/>
            <w:shd w:fill="16394D"/>
          </w:tcPr>
          <w:p>
            <w:pPr>
              <w:spacing w:after="40" w:before="20" w:line="259" w:lineRule="auto"/>
              <w:jc w:val="left"/>
            </w:pPr>
            <w:r>
              <w:rPr>
                <w:rFonts w:ascii="Noto Sans CJK SC" w:hAnsi="Noto Sans CJK SC" w:eastAsia="Noto Sans CJK SC"/>
                <w:b/>
                <w:color w:val="FFFFFF"/>
                <w:sz w:val="19"/>
              </w:rPr>
              <w:t>钓法与触发条件</w:t>
            </w:r>
          </w:p>
        </w:tc>
      </w:tr>
      <w:tr>
        <w:trPr>
          <w:cantSplit/>
        </w:trPr>
        <w:tc>
          <w:tcPr>
            <w:tcW w:type="dxa" w:w="1944"/>
            <w:vAlign w:val="center"/>
            <w:shd w:fill="FFFFFF"/>
          </w:tcPr>
          <w:p>
            <w:pPr>
              <w:spacing w:after="40" w:before="20" w:line="259" w:lineRule="auto"/>
              <w:jc w:val="center"/>
            </w:pPr>
            <w:r>
              <w:rPr>
                <w:rFonts w:ascii="Noto Sans CJK SC" w:hAnsi="Noto Sans CJK SC" w:eastAsia="Noto Sans CJK SC"/>
                <w:b w:val="0"/>
                <w:color w:val="17252C"/>
                <w:sz w:val="19"/>
              </w:rPr>
              <w:t>轻走水、增氧机外围</w:t>
              <w:br/>
              <w:t>塘规允许且远离机器；有效钓区内可控漂。</w:t>
            </w:r>
          </w:p>
        </w:tc>
        <w:tc>
          <w:tcPr>
            <w:tcW w:type="dxa" w:w="2520"/>
            <w:vAlign w:val="center"/>
            <w:shd w:fill="FFFFFF"/>
          </w:tcPr>
          <w:p>
            <w:pPr>
              <w:spacing w:after="40" w:before="20" w:line="259" w:lineRule="auto"/>
              <w:jc w:val="left"/>
            </w:pPr>
            <w:r>
              <w:rPr>
                <w:rFonts w:ascii="Noto Sans CJK SC" w:hAnsi="Noto Sans CJK SC" w:eastAsia="Noto Sans CJK SC"/>
                <w:b w:val="0"/>
                <w:color w:val="17252C"/>
                <w:sz w:val="19"/>
              </w:rPr>
              <w:t>吃铅可升一档，子线短端，保持稳定。</w:t>
            </w:r>
          </w:p>
        </w:tc>
        <w:tc>
          <w:tcPr>
            <w:tcW w:type="dxa" w:w="2088"/>
            <w:vAlign w:val="center"/>
            <w:shd w:fill="FFFFFF"/>
          </w:tcPr>
          <w:p>
            <w:pPr>
              <w:spacing w:after="40" w:before="20" w:line="259" w:lineRule="auto"/>
              <w:jc w:val="left"/>
            </w:pPr>
            <w:r>
              <w:rPr>
                <w:rFonts w:ascii="Noto Sans CJK SC" w:hAnsi="Noto Sans CJK SC" w:eastAsia="Noto Sans CJK SC"/>
                <w:b w:val="0"/>
                <w:color w:val="17252C"/>
                <w:sz w:val="19"/>
              </w:rPr>
              <w:t>略增附钩，减少散粉；软颗粒或小块饵。</w:t>
            </w:r>
          </w:p>
        </w:tc>
        <w:tc>
          <w:tcPr>
            <w:tcW w:type="dxa" w:w="3730"/>
            <w:vAlign w:val="center"/>
            <w:shd w:fill="FFFFFF"/>
          </w:tcPr>
          <w:p>
            <w:pPr>
              <w:spacing w:after="40" w:before="20" w:line="259" w:lineRule="auto"/>
              <w:jc w:val="left"/>
            </w:pPr>
            <w:r>
              <w:rPr>
                <w:rFonts w:ascii="Noto Sans CJK SC" w:hAnsi="Noto Sans CJK SC" w:eastAsia="Noto Sans CJK SC"/>
                <w:b w:val="0"/>
                <w:color w:val="17252C"/>
                <w:sz w:val="19"/>
              </w:rPr>
              <w:t>固定落点比较同一漂程，顺流提收，不拖过鱼群。</w:t>
              <w:br/>
              <w:t>调整：淹漂、饵出目标区或走水不可控则换位。</w:t>
            </w:r>
          </w:p>
        </w:tc>
      </w:tr>
      <w:tr>
        <w:trPr>
          <w:cantSplit/>
        </w:trPr>
        <w:tc>
          <w:tcPr>
            <w:tcW w:type="dxa" w:w="1944"/>
            <w:vAlign w:val="center"/>
            <w:shd w:fill="F1F5F7"/>
          </w:tcPr>
          <w:p>
            <w:pPr>
              <w:spacing w:after="40" w:before="20" w:line="259" w:lineRule="auto"/>
              <w:jc w:val="center"/>
            </w:pPr>
            <w:r>
              <w:rPr>
                <w:rFonts w:ascii="Noto Sans CJK SC" w:hAnsi="Noto Sans CJK SC" w:eastAsia="Noto Sans CJK SC"/>
                <w:b w:val="0"/>
                <w:color w:val="17252C"/>
                <w:sz w:val="19"/>
              </w:rPr>
              <w:t>清水高压、鱼在但不吞钩</w:t>
              <w:br/>
              <w:t>观察自由食物与钩饵反应，回避仅为假说。</w:t>
            </w:r>
          </w:p>
        </w:tc>
        <w:tc>
          <w:tcPr>
            <w:tcW w:type="dxa" w:w="2520"/>
            <w:vAlign w:val="center"/>
            <w:shd w:fill="F1F5F7"/>
          </w:tcPr>
          <w:p>
            <w:pPr>
              <w:spacing w:after="40" w:before="20" w:line="259" w:lineRule="auto"/>
              <w:jc w:val="left"/>
            </w:pPr>
            <w:r>
              <w:rPr>
                <w:rFonts w:ascii="Noto Sans CJK SC" w:hAnsi="Noto Sans CJK SC" w:eastAsia="Noto Sans CJK SC"/>
                <w:b w:val="0"/>
                <w:color w:val="17252C"/>
                <w:sz w:val="19"/>
              </w:rPr>
              <w:t>单钩或短柔顺子线；承载可靠才降一档。</w:t>
            </w:r>
          </w:p>
        </w:tc>
        <w:tc>
          <w:tcPr>
            <w:tcW w:type="dxa" w:w="2088"/>
            <w:vAlign w:val="center"/>
            <w:shd w:fill="F1F5F7"/>
          </w:tcPr>
          <w:p>
            <w:pPr>
              <w:spacing w:after="40" w:before="20" w:line="259" w:lineRule="auto"/>
              <w:jc w:val="left"/>
            </w:pPr>
            <w:r>
              <w:rPr>
                <w:rFonts w:ascii="Noto Sans CJK SC" w:hAnsi="Noto Sans CJK SC" w:eastAsia="Noto Sans CJK SC"/>
                <w:b w:val="0"/>
                <w:color w:val="17252C"/>
                <w:sz w:val="19"/>
              </w:rPr>
              <w:t>常喂颗粒与更小软饵作单变量对照。</w:t>
            </w:r>
          </w:p>
        </w:tc>
        <w:tc>
          <w:tcPr>
            <w:tcW w:type="dxa" w:w="3730"/>
            <w:vAlign w:val="center"/>
            <w:shd w:fill="F1F5F7"/>
          </w:tcPr>
          <w:p>
            <w:pPr>
              <w:spacing w:after="40" w:before="20" w:line="259" w:lineRule="auto"/>
              <w:jc w:val="left"/>
            </w:pPr>
            <w:r>
              <w:rPr>
                <w:rFonts w:ascii="Noto Sans CJK SC" w:hAnsi="Noto Sans CJK SC" w:eastAsia="Noto Sans CJK SC"/>
                <w:b w:val="0"/>
                <w:color w:val="17252C"/>
                <w:sz w:val="19"/>
              </w:rPr>
              <w:t>窝边轻投、少拖动，记录真实正口和空竿。</w:t>
              <w:br/>
              <w:t>调整：自由饵也不吃先查环境；只吃自由饵再试钩重与呈现。</w:t>
            </w:r>
          </w:p>
        </w:tc>
      </w:tr>
    </w:tbl>
    <w:p>
      <w:pPr>
        <w:spacing w:after="0"/>
      </w:pPr>
      <w:r>
        <w:rPr>
          <w:sz w:val="6"/>
        </w:rPr>
      </w:r>
    </w:p>
    <w:p>
      <w:r>
        <w:rPr>
          <w:sz w:val="18"/>
        </w:rPr>
        <w:t>参数口径：kg为单尾体重；线号默认尼龙；g为漂标称吃铅或明确标注的窝料重量；厘米按实际钩位计。生理学资料支持判断方向，具体搭配仍需现场核验。</w:t>
      </w:r>
    </w:p>
    <w:p>
      <w:pPr>
        <w:pStyle w:val="Heading1"/>
        <w:pageBreakBefore/>
      </w:pPr>
      <w:r>
        <w:t>截图黑坑情境的完整执行示例</w:t>
      </w:r>
    </w:p>
    <w:p>
      <w:r>
        <w:t>已知条件为气温26至31℃、气压1006 hPa、东南风2级、水温约23℃、绿水、1.5至2米水深、2至3斤回锅鲤鱼和罗非、鱼体有锚伤、淤泥臭底。以下将鲤鱼与罗非分别执行，暂不把体表锚伤等同于嘴伤或已经停食。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152"/>
        <w:gridCol w:w="4565"/>
        <w:gridCol w:w="4565"/>
      </w:tblGrid>
      <w:tr>
        <w:trPr>
          <w:tblHeader/>
          <w:cantSplit/>
        </w:trPr>
        <w:tc>
          <w:tcPr>
            <w:tcW w:type="dxa" w:w="1152"/>
            <w:vAlign w:val="center"/>
            <w:shd w:fill="16394D"/>
          </w:tcPr>
          <w:p>
            <w:pPr>
              <w:spacing w:after="40" w:before="20" w:line="259" w:lineRule="auto"/>
              <w:jc w:val="center"/>
            </w:pPr>
            <w:r>
              <w:rPr>
                <w:rFonts w:ascii="Noto Sans CJK SC" w:hAnsi="Noto Sans CJK SC" w:eastAsia="Noto Sans CJK SC"/>
                <w:b/>
                <w:color w:val="FFFFFF"/>
                <w:sz w:val="20"/>
              </w:rPr>
              <w:t>步骤</w:t>
            </w:r>
          </w:p>
        </w:tc>
        <w:tc>
          <w:tcPr>
            <w:tcW w:type="dxa" w:w="4565"/>
            <w:vAlign w:val="center"/>
            <w:shd w:fill="16394D"/>
          </w:tcPr>
          <w:p>
            <w:pPr>
              <w:spacing w:after="40" w:before="20" w:line="259" w:lineRule="auto"/>
              <w:jc w:val="left"/>
            </w:pPr>
            <w:r>
              <w:rPr>
                <w:rFonts w:ascii="Noto Sans CJK SC" w:hAnsi="Noto Sans CJK SC" w:eastAsia="Noto Sans CJK SC"/>
                <w:b/>
                <w:color w:val="FFFFFF"/>
                <w:sz w:val="20"/>
              </w:rPr>
              <w:t>鲤鱼</w:t>
            </w:r>
          </w:p>
        </w:tc>
        <w:tc>
          <w:tcPr>
            <w:tcW w:type="dxa" w:w="4565"/>
            <w:vAlign w:val="center"/>
            <w:shd w:fill="16394D"/>
          </w:tcPr>
          <w:p>
            <w:pPr>
              <w:spacing w:after="40" w:before="20" w:line="259" w:lineRule="auto"/>
              <w:jc w:val="left"/>
            </w:pPr>
            <w:r>
              <w:rPr>
                <w:rFonts w:ascii="Noto Sans CJK SC" w:hAnsi="Noto Sans CJK SC" w:eastAsia="Noto Sans CJK SC"/>
                <w:b/>
                <w:color w:val="FFFFFF"/>
                <w:sz w:val="20"/>
              </w:rPr>
              <w:t>罗非</w:t>
            </w:r>
          </w:p>
        </w:tc>
      </w:tr>
      <w:tr>
        <w:trPr>
          <w:cantSplit/>
        </w:trPr>
        <w:tc>
          <w:tcPr>
            <w:tcW w:type="dxa" w:w="1152"/>
            <w:vAlign w:val="center"/>
            <w:shd w:fill="FFFFFF"/>
          </w:tcPr>
          <w:p>
            <w:pPr>
              <w:spacing w:after="40" w:before="20" w:line="259" w:lineRule="auto"/>
              <w:jc w:val="center"/>
            </w:pPr>
            <w:r>
              <w:rPr>
                <w:rFonts w:ascii="Noto Sans CJK SC" w:hAnsi="Noto Sans CJK SC" w:eastAsia="Noto Sans CJK SC"/>
                <w:b w:val="0"/>
                <w:color w:val="17252C"/>
                <w:sz w:val="20"/>
              </w:rPr>
              <w:t>先排查</w:t>
            </w:r>
          </w:p>
        </w:tc>
        <w:tc>
          <w:tcPr>
            <w:tcW w:type="dxa" w:w="4565"/>
            <w:vAlign w:val="center"/>
            <w:shd w:fill="FFFFFF"/>
          </w:tcPr>
          <w:p>
            <w:pPr>
              <w:spacing w:after="40" w:before="20" w:line="259" w:lineRule="auto"/>
              <w:jc w:val="left"/>
            </w:pPr>
            <w:r>
              <w:rPr>
                <w:rFonts w:ascii="Noto Sans CJK SC" w:hAnsi="Noto Sans CJK SC" w:eastAsia="Noto Sans CJK SC"/>
                <w:b w:val="0"/>
                <w:color w:val="17252C"/>
                <w:sz w:val="20"/>
              </w:rPr>
              <w:t>观察全塘是否正常正口，比较近底与上层水温溶氧；检查饵是否陷泥</w:t>
            </w:r>
          </w:p>
        </w:tc>
        <w:tc>
          <w:tcPr>
            <w:tcW w:type="dxa" w:w="4565"/>
            <w:vAlign w:val="center"/>
            <w:shd w:fill="FFFFFF"/>
          </w:tcPr>
          <w:p>
            <w:pPr>
              <w:spacing w:after="40" w:before="20" w:line="259" w:lineRule="auto"/>
              <w:jc w:val="left"/>
            </w:pPr>
            <w:r>
              <w:rPr>
                <w:rFonts w:ascii="Noto Sans CJK SC" w:hAnsi="Noto Sans CJK SC" w:eastAsia="Noto Sans CJK SC"/>
                <w:b w:val="0"/>
                <w:color w:val="17252C"/>
                <w:sz w:val="20"/>
              </w:rPr>
              <w:t>相同；同时询问种系和近期投喂，23℃不直接判停口</w:t>
            </w:r>
          </w:p>
        </w:tc>
      </w:tr>
      <w:tr>
        <w:trPr>
          <w:cantSplit/>
        </w:trPr>
        <w:tc>
          <w:tcPr>
            <w:tcW w:type="dxa" w:w="1152"/>
            <w:vAlign w:val="center"/>
            <w:shd w:fill="F1F5F7"/>
          </w:tcPr>
          <w:p>
            <w:pPr>
              <w:spacing w:after="40" w:before="20" w:line="259" w:lineRule="auto"/>
              <w:jc w:val="center"/>
            </w:pPr>
            <w:r>
              <w:rPr>
                <w:rFonts w:ascii="Noto Sans CJK SC" w:hAnsi="Noto Sans CJK SC" w:eastAsia="Noto Sans CJK SC"/>
                <w:b w:val="0"/>
                <w:color w:val="17252C"/>
                <w:sz w:val="20"/>
              </w:rPr>
              <w:t>基础装备</w:t>
            </w:r>
          </w:p>
        </w:tc>
        <w:tc>
          <w:tcPr>
            <w:tcW w:type="dxa" w:w="4565"/>
            <w:vAlign w:val="center"/>
            <w:shd w:fill="F1F5F7"/>
          </w:tcPr>
          <w:p>
            <w:pPr>
              <w:spacing w:after="40" w:before="20" w:line="259" w:lineRule="auto"/>
              <w:jc w:val="left"/>
            </w:pPr>
            <w:r>
              <w:rPr>
                <w:rFonts w:ascii="Noto Sans CJK SC" w:hAnsi="Noto Sans CJK SC" w:eastAsia="Noto Sans CJK SC"/>
                <w:b w:val="0"/>
                <w:color w:val="17252C"/>
                <w:sz w:val="20"/>
              </w:rPr>
              <w:t>4.5至5.4米竿；主2号 子1.2至1.5号；新关东0.5至0.8号；漂2至2.5g；子线20至30cm</w:t>
            </w:r>
          </w:p>
        </w:tc>
        <w:tc>
          <w:tcPr>
            <w:tcW w:type="dxa" w:w="4565"/>
            <w:vAlign w:val="center"/>
            <w:shd w:fill="F1F5F7"/>
          </w:tcPr>
          <w:p>
            <w:pPr>
              <w:spacing w:after="40" w:before="20" w:line="259" w:lineRule="auto"/>
              <w:jc w:val="left"/>
            </w:pPr>
            <w:r>
              <w:rPr>
                <w:rFonts w:ascii="Noto Sans CJK SC" w:hAnsi="Noto Sans CJK SC" w:eastAsia="Noto Sans CJK SC"/>
                <w:b w:val="0"/>
                <w:color w:val="17252C"/>
                <w:sz w:val="20"/>
              </w:rPr>
              <w:t>3.9至4.8米竿；主2至2.5号 子1.2至1.5号；伊势尼5至6号；漂1.5至2.5g；子线15至22cm</w:t>
            </w:r>
          </w:p>
        </w:tc>
      </w:tr>
      <w:tr>
        <w:trPr>
          <w:cantSplit/>
        </w:trPr>
        <w:tc>
          <w:tcPr>
            <w:tcW w:type="dxa" w:w="1152"/>
            <w:vAlign w:val="center"/>
            <w:shd w:fill="FFFFFF"/>
          </w:tcPr>
          <w:p>
            <w:pPr>
              <w:spacing w:after="40" w:before="20" w:line="259" w:lineRule="auto"/>
              <w:jc w:val="center"/>
            </w:pPr>
            <w:r>
              <w:rPr>
                <w:rFonts w:ascii="Noto Sans CJK SC" w:hAnsi="Noto Sans CJK SC" w:eastAsia="Noto Sans CJK SC"/>
                <w:b w:val="0"/>
                <w:color w:val="17252C"/>
                <w:sz w:val="20"/>
              </w:rPr>
              <w:t>基础饵</w:t>
            </w:r>
          </w:p>
        </w:tc>
        <w:tc>
          <w:tcPr>
            <w:tcW w:type="dxa" w:w="4565"/>
            <w:vAlign w:val="center"/>
            <w:shd w:fill="FFFFFF"/>
          </w:tcPr>
          <w:p>
            <w:pPr>
              <w:spacing w:after="40" w:before="20" w:line="259" w:lineRule="auto"/>
              <w:jc w:val="left"/>
            </w:pPr>
            <w:r>
              <w:rPr>
                <w:rFonts w:ascii="Noto Sans CJK SC" w:hAnsi="Noto Sans CJK SC" w:eastAsia="Noto Sans CJK SC"/>
                <w:b w:val="0"/>
                <w:color w:val="17252C"/>
                <w:sz w:val="20"/>
              </w:rPr>
              <w:t>熟悉颗粒谷物软饵6至10mm；低散化；另留单粒嫩玉米对照</w:t>
            </w:r>
          </w:p>
        </w:tc>
        <w:tc>
          <w:tcPr>
            <w:tcW w:type="dxa" w:w="4565"/>
            <w:vAlign w:val="center"/>
            <w:shd w:fill="FFFFFF"/>
          </w:tcPr>
          <w:p>
            <w:pPr>
              <w:spacing w:after="40" w:before="20" w:line="259" w:lineRule="auto"/>
              <w:jc w:val="left"/>
            </w:pPr>
            <w:r>
              <w:rPr>
                <w:rFonts w:ascii="Noto Sans CJK SC" w:hAnsi="Noto Sans CJK SC" w:eastAsia="Noto Sans CJK SC"/>
                <w:b w:val="0"/>
                <w:color w:val="17252C"/>
                <w:sz w:val="20"/>
              </w:rPr>
              <w:t>熟悉颗粒软饵6至8mm起，先缩软；保留无额外香精基线</w:t>
            </w:r>
          </w:p>
        </w:tc>
      </w:tr>
      <w:tr>
        <w:trPr>
          <w:cantSplit/>
        </w:trPr>
        <w:tc>
          <w:tcPr>
            <w:tcW w:type="dxa" w:w="1152"/>
            <w:vAlign w:val="center"/>
            <w:shd w:fill="F1F5F7"/>
          </w:tcPr>
          <w:p>
            <w:pPr>
              <w:spacing w:after="40" w:before="20" w:line="259" w:lineRule="auto"/>
              <w:jc w:val="center"/>
            </w:pPr>
            <w:r>
              <w:rPr>
                <w:rFonts w:ascii="Noto Sans CJK SC" w:hAnsi="Noto Sans CJK SC" w:eastAsia="Noto Sans CJK SC"/>
                <w:b w:val="0"/>
                <w:color w:val="17252C"/>
                <w:sz w:val="20"/>
              </w:rPr>
              <w:t>第一轮</w:t>
            </w:r>
          </w:p>
        </w:tc>
        <w:tc>
          <w:tcPr>
            <w:tcW w:type="dxa" w:w="4565"/>
            <w:vAlign w:val="center"/>
            <w:shd w:fill="F1F5F7"/>
          </w:tcPr>
          <w:p>
            <w:pPr>
              <w:spacing w:after="40" w:before="20" w:line="259" w:lineRule="auto"/>
              <w:jc w:val="left"/>
            </w:pPr>
            <w:r>
              <w:rPr>
                <w:rFonts w:ascii="Noto Sans CJK SC" w:hAnsi="Noto Sans CJK SC" w:eastAsia="Noto Sans CJK SC"/>
                <w:b w:val="0"/>
                <w:color w:val="17252C"/>
                <w:sz w:val="20"/>
              </w:rPr>
              <w:t>同点比较轻触泥面与离泥5至10cm，不同时换味型</w:t>
            </w:r>
          </w:p>
        </w:tc>
        <w:tc>
          <w:tcPr>
            <w:tcW w:type="dxa" w:w="4565"/>
            <w:vAlign w:val="center"/>
            <w:shd w:fill="F1F5F7"/>
          </w:tcPr>
          <w:p>
            <w:pPr>
              <w:spacing w:after="40" w:before="20" w:line="259" w:lineRule="auto"/>
              <w:jc w:val="left"/>
            </w:pPr>
            <w:r>
              <w:rPr>
                <w:rFonts w:ascii="Noto Sans CJK SC" w:hAnsi="Noto Sans CJK SC" w:eastAsia="Noto Sans CJK SC"/>
                <w:b w:val="0"/>
                <w:color w:val="17252C"/>
                <w:sz w:val="20"/>
              </w:rPr>
              <w:t>先让小软饵离泥5至10cm，比较实际持钩与正口</w:t>
            </w:r>
          </w:p>
        </w:tc>
      </w:tr>
      <w:tr>
        <w:trPr>
          <w:cantSplit/>
        </w:trPr>
        <w:tc>
          <w:tcPr>
            <w:tcW w:type="dxa" w:w="1152"/>
            <w:vAlign w:val="center"/>
            <w:shd w:fill="FFFFFF"/>
          </w:tcPr>
          <w:p>
            <w:pPr>
              <w:spacing w:after="40" w:before="20" w:line="259" w:lineRule="auto"/>
              <w:jc w:val="center"/>
            </w:pPr>
            <w:r>
              <w:rPr>
                <w:rFonts w:ascii="Noto Sans CJK SC" w:hAnsi="Noto Sans CJK SC" w:eastAsia="Noto Sans CJK SC"/>
                <w:b w:val="0"/>
                <w:color w:val="17252C"/>
                <w:sz w:val="20"/>
              </w:rPr>
              <w:t>观察与补窝</w:t>
            </w:r>
          </w:p>
        </w:tc>
        <w:tc>
          <w:tcPr>
            <w:tcW w:type="dxa" w:w="4565"/>
            <w:vAlign w:val="center"/>
            <w:shd w:fill="FFFFFF"/>
          </w:tcPr>
          <w:p>
            <w:pPr>
              <w:spacing w:after="40" w:before="20" w:line="259" w:lineRule="auto"/>
              <w:jc w:val="left"/>
            </w:pPr>
            <w:r>
              <w:rPr>
                <w:rFonts w:ascii="Noto Sans CJK SC" w:hAnsi="Noto Sans CJK SC" w:eastAsia="Noto Sans CJK SC"/>
                <w:b w:val="0"/>
                <w:color w:val="17252C"/>
                <w:sz w:val="20"/>
              </w:rPr>
              <w:t>未知状态先钩饵或极少量试窝；软饵约2至4分钟检查，按残留缩短</w:t>
            </w:r>
          </w:p>
        </w:tc>
        <w:tc>
          <w:tcPr>
            <w:tcW w:type="dxa" w:w="4565"/>
            <w:vAlign w:val="center"/>
            <w:shd w:fill="FFFFFF"/>
          </w:tcPr>
          <w:p>
            <w:pPr>
              <w:spacing w:after="40" w:before="20" w:line="259" w:lineRule="auto"/>
              <w:jc w:val="left"/>
            </w:pPr>
            <w:r>
              <w:rPr>
                <w:rFonts w:ascii="Noto Sans CJK SC" w:hAnsi="Noto Sans CJK SC" w:eastAsia="Noto Sans CJK SC"/>
                <w:b w:val="0"/>
                <w:color w:val="17252C"/>
                <w:sz w:val="20"/>
              </w:rPr>
              <w:t>先60至90秒检查一竿；仅有真实摄食才少量补</w:t>
            </w:r>
          </w:p>
        </w:tc>
      </w:tr>
      <w:tr>
        <w:trPr>
          <w:cantSplit/>
        </w:trPr>
        <w:tc>
          <w:tcPr>
            <w:tcW w:type="dxa" w:w="1152"/>
            <w:vAlign w:val="center"/>
            <w:shd w:fill="F1F5F7"/>
          </w:tcPr>
          <w:p>
            <w:pPr>
              <w:spacing w:after="40" w:before="20" w:line="259" w:lineRule="auto"/>
              <w:jc w:val="center"/>
            </w:pPr>
            <w:r>
              <w:rPr>
                <w:rFonts w:ascii="Noto Sans CJK SC" w:hAnsi="Noto Sans CJK SC" w:eastAsia="Noto Sans CJK SC"/>
                <w:b w:val="0"/>
                <w:color w:val="17252C"/>
                <w:sz w:val="20"/>
              </w:rPr>
              <w:t>改变方向</w:t>
            </w:r>
          </w:p>
        </w:tc>
        <w:tc>
          <w:tcPr>
            <w:tcW w:type="dxa" w:w="4565"/>
            <w:vAlign w:val="center"/>
            <w:shd w:fill="F1F5F7"/>
          </w:tcPr>
          <w:p>
            <w:pPr>
              <w:spacing w:after="40" w:before="20" w:line="259" w:lineRule="auto"/>
              <w:jc w:val="left"/>
            </w:pPr>
            <w:r>
              <w:rPr>
                <w:rFonts w:ascii="Noto Sans CJK SC" w:hAnsi="Noto Sans CJK SC" w:eastAsia="Noto Sans CJK SC"/>
                <w:b w:val="0"/>
                <w:color w:val="17252C"/>
                <w:sz w:val="20"/>
              </w:rPr>
              <w:t>全塘异常先环境；邻位同种鱼正口先位置与呈现；蹭线多先查层</w:t>
            </w:r>
          </w:p>
        </w:tc>
        <w:tc>
          <w:tcPr>
            <w:tcW w:type="dxa" w:w="4565"/>
            <w:vAlign w:val="center"/>
            <w:shd w:fill="F1F5F7"/>
          </w:tcPr>
          <w:p>
            <w:pPr>
              <w:spacing w:after="40" w:before="20" w:line="259" w:lineRule="auto"/>
              <w:jc w:val="left"/>
            </w:pPr>
            <w:r>
              <w:rPr>
                <w:rFonts w:ascii="Noto Sans CJK SC" w:hAnsi="Noto Sans CJK SC" w:eastAsia="Noto Sans CJK SC"/>
                <w:b w:val="0"/>
                <w:color w:val="17252C"/>
                <w:sz w:val="20"/>
              </w:rPr>
              <w:t>相同；不能用体外挂中确认饵料有效</w:t>
            </w:r>
          </w:p>
        </w:tc>
      </w:tr>
    </w:tbl>
    <w:p>
      <w:pPr>
        <w:spacing w:after="0"/>
      </w:pPr>
      <w:r>
        <w:rPr>
          <w:sz w:val="6"/>
        </w:rPr>
      </w:r>
    </w:p>
    <w:p>
      <w:r>
        <w:t>若出现持续浮头或实测溶氧明显不足，以上正常作钓步骤暂停。先核查并改善条件，再小量恢复试钓。离泥数厘米只用于检验埋饵，不能保证脱离低氧层。</w:t>
      </w:r>
    </w:p>
    <w:p>
      <w:pPr>
        <w:pStyle w:val="Heading1"/>
        <w:pageBreakBefore/>
      </w:pPr>
      <w:r>
        <w:t>网页决策规则与使用边界</w:t>
      </w:r>
    </w:p>
    <w:p>
      <w:r>
        <w:t>网页以本报告的体重档和场景规则组合初始方案。每次输出一种主方案、一个有条件的备选、具体装备与饵料，以及下一步调整条件。规则会随选择更新，不展示未经实测的成功概率。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00" w:type="dxa"/>
          <w:bottom w:w="90" w:type="dxa"/>
          <w:right w:w="100" w:type="dxa"/>
        </w:tblCellMar>
      </w:tblPr>
      <w:tblGrid>
        <w:gridCol w:w="1584"/>
        <w:gridCol w:w="4464"/>
        <w:gridCol w:w="4234"/>
      </w:tblGrid>
      <w:tr>
        <w:trPr>
          <w:tblHeader/>
          <w:cantSplit/>
        </w:trPr>
        <w:tc>
          <w:tcPr>
            <w:tcW w:type="dxa" w:w="1584"/>
            <w:vAlign w:val="center"/>
            <w:shd w:fill="16394D"/>
          </w:tcPr>
          <w:p>
            <w:pPr>
              <w:spacing w:after="40" w:before="20" w:line="259" w:lineRule="auto"/>
              <w:jc w:val="center"/>
            </w:pPr>
            <w:r>
              <w:rPr>
                <w:rFonts w:ascii="Noto Sans CJK SC" w:hAnsi="Noto Sans CJK SC" w:eastAsia="Noto Sans CJK SC"/>
                <w:b/>
                <w:color w:val="FFFFFF"/>
                <w:sz w:val="20"/>
              </w:rPr>
              <w:t>输入</w:t>
            </w:r>
          </w:p>
        </w:tc>
        <w:tc>
          <w:tcPr>
            <w:tcW w:type="dxa" w:w="4464"/>
            <w:vAlign w:val="center"/>
            <w:shd w:fill="16394D"/>
          </w:tcPr>
          <w:p>
            <w:pPr>
              <w:spacing w:after="40" w:before="20" w:line="259" w:lineRule="auto"/>
              <w:jc w:val="left"/>
            </w:pPr>
            <w:r>
              <w:rPr>
                <w:rFonts w:ascii="Noto Sans CJK SC" w:hAnsi="Noto Sans CJK SC" w:eastAsia="Noto Sans CJK SC"/>
                <w:b/>
                <w:color w:val="FFFFFF"/>
                <w:sz w:val="20"/>
              </w:rPr>
              <w:t>可选内容</w:t>
            </w:r>
          </w:p>
        </w:tc>
        <w:tc>
          <w:tcPr>
            <w:tcW w:type="dxa" w:w="4234"/>
            <w:vAlign w:val="center"/>
            <w:shd w:fill="16394D"/>
          </w:tcPr>
          <w:p>
            <w:pPr>
              <w:spacing w:after="40" w:before="20" w:line="259" w:lineRule="auto"/>
              <w:jc w:val="left"/>
            </w:pPr>
            <w:r>
              <w:rPr>
                <w:rFonts w:ascii="Noto Sans CJK SC" w:hAnsi="Noto Sans CJK SC" w:eastAsia="Noto Sans CJK SC"/>
                <w:b/>
                <w:color w:val="FFFFFF"/>
                <w:sz w:val="20"/>
              </w:rPr>
              <w:t>对方案的影响</w:t>
            </w:r>
          </w:p>
        </w:tc>
      </w:tr>
      <w:tr>
        <w:trPr>
          <w:cantSplit/>
        </w:trPr>
        <w:tc>
          <w:tcPr>
            <w:tcW w:type="dxa" w:w="1584"/>
            <w:vAlign w:val="center"/>
            <w:shd w:fill="FFFFFF"/>
          </w:tcPr>
          <w:p>
            <w:pPr>
              <w:spacing w:after="40" w:before="20" w:line="259" w:lineRule="auto"/>
              <w:jc w:val="center"/>
            </w:pPr>
            <w:r>
              <w:rPr>
                <w:rFonts w:ascii="Noto Sans CJK SC" w:hAnsi="Noto Sans CJK SC" w:eastAsia="Noto Sans CJK SC"/>
                <w:b w:val="0"/>
                <w:color w:val="17252C"/>
                <w:sz w:val="20"/>
              </w:rPr>
              <w:t>鱼种和体型</w:t>
            </w:r>
          </w:p>
        </w:tc>
        <w:tc>
          <w:tcPr>
            <w:tcW w:type="dxa" w:w="4464"/>
            <w:vAlign w:val="center"/>
            <w:shd w:fill="FFFFFF"/>
          </w:tcPr>
          <w:p>
            <w:pPr>
              <w:spacing w:after="40" w:before="20" w:line="259" w:lineRule="auto"/>
              <w:jc w:val="left"/>
            </w:pPr>
            <w:r>
              <w:rPr>
                <w:rFonts w:ascii="Noto Sans CJK SC" w:hAnsi="Noto Sans CJK SC" w:eastAsia="Noto Sans CJK SC"/>
                <w:b w:val="0"/>
                <w:color w:val="17252C"/>
                <w:sz w:val="20"/>
              </w:rPr>
              <w:t>六类鱼 鲢鳙子类型 不同体重档或未知</w:t>
            </w:r>
          </w:p>
        </w:tc>
        <w:tc>
          <w:tcPr>
            <w:tcW w:type="dxa" w:w="4234"/>
            <w:vAlign w:val="center"/>
            <w:shd w:fill="FFFFFF"/>
          </w:tcPr>
          <w:p>
            <w:pPr>
              <w:spacing w:after="40" w:before="20" w:line="259" w:lineRule="auto"/>
              <w:jc w:val="left"/>
            </w:pPr>
            <w:r>
              <w:rPr>
                <w:rFonts w:ascii="Noto Sans CJK SC" w:hAnsi="Noto Sans CJK SC" w:eastAsia="Noto Sans CJK SC"/>
                <w:b w:val="0"/>
                <w:color w:val="17252C"/>
                <w:sz w:val="20"/>
              </w:rPr>
              <w:t>基础装备 食物候选 主要水层</w:t>
            </w:r>
          </w:p>
        </w:tc>
      </w:tr>
      <w:tr>
        <w:trPr>
          <w:cantSplit/>
        </w:trPr>
        <w:tc>
          <w:tcPr>
            <w:tcW w:type="dxa" w:w="1584"/>
            <w:vAlign w:val="center"/>
            <w:shd w:fill="F1F5F7"/>
          </w:tcPr>
          <w:p>
            <w:pPr>
              <w:spacing w:after="40" w:before="20" w:line="259" w:lineRule="auto"/>
              <w:jc w:val="center"/>
            </w:pPr>
            <w:r>
              <w:rPr>
                <w:rFonts w:ascii="Noto Sans CJK SC" w:hAnsi="Noto Sans CJK SC" w:eastAsia="Noto Sans CJK SC"/>
                <w:b w:val="0"/>
                <w:color w:val="17252C"/>
                <w:sz w:val="20"/>
              </w:rPr>
              <w:t>钓捕经历与活性</w:t>
            </w:r>
          </w:p>
        </w:tc>
        <w:tc>
          <w:tcPr>
            <w:tcW w:type="dxa" w:w="4464"/>
            <w:vAlign w:val="center"/>
            <w:shd w:fill="F1F5F7"/>
          </w:tcPr>
          <w:p>
            <w:pPr>
              <w:spacing w:after="40" w:before="20" w:line="259" w:lineRule="auto"/>
              <w:jc w:val="left"/>
            </w:pPr>
            <w:r>
              <w:rPr>
                <w:rFonts w:ascii="Noto Sans CJK SC" w:hAnsi="Noto Sans CJK SC" w:eastAsia="Noto Sans CJK SC"/>
                <w:b w:val="0"/>
                <w:color w:val="17252C"/>
                <w:sz w:val="20"/>
              </w:rPr>
              <w:t>生口 滑口 未知；积极 轻口 乱口 无口 刚放鱼 浮头</w:t>
            </w:r>
          </w:p>
        </w:tc>
        <w:tc>
          <w:tcPr>
            <w:tcW w:type="dxa" w:w="4234"/>
            <w:vAlign w:val="center"/>
            <w:shd w:fill="F1F5F7"/>
          </w:tcPr>
          <w:p>
            <w:pPr>
              <w:spacing w:after="40" w:before="20" w:line="259" w:lineRule="auto"/>
              <w:jc w:val="left"/>
            </w:pPr>
            <w:r>
              <w:rPr>
                <w:rFonts w:ascii="Noto Sans CJK SC" w:hAnsi="Noto Sans CJK SC" w:eastAsia="Noto Sans CJK SC"/>
                <w:b w:val="0"/>
                <w:color w:val="17252C"/>
                <w:sz w:val="20"/>
              </w:rPr>
              <w:t>饵形 节奏 诊断方向；浮头覆盖常规诱钓</w:t>
            </w:r>
          </w:p>
        </w:tc>
      </w:tr>
      <w:tr>
        <w:trPr>
          <w:cantSplit/>
        </w:trPr>
        <w:tc>
          <w:tcPr>
            <w:tcW w:type="dxa" w:w="1584"/>
            <w:vAlign w:val="center"/>
            <w:shd w:fill="FFFFFF"/>
          </w:tcPr>
          <w:p>
            <w:pPr>
              <w:spacing w:after="40" w:before="20" w:line="259" w:lineRule="auto"/>
              <w:jc w:val="center"/>
            </w:pPr>
            <w:r>
              <w:rPr>
                <w:rFonts w:ascii="Noto Sans CJK SC" w:hAnsi="Noto Sans CJK SC" w:eastAsia="Noto Sans CJK SC"/>
                <w:b w:val="0"/>
                <w:color w:val="17252C"/>
                <w:sz w:val="20"/>
              </w:rPr>
              <w:t>水域与水环境</w:t>
            </w:r>
          </w:p>
        </w:tc>
        <w:tc>
          <w:tcPr>
            <w:tcW w:type="dxa" w:w="4464"/>
            <w:vAlign w:val="center"/>
            <w:shd w:fill="FFFFFF"/>
          </w:tcPr>
          <w:p>
            <w:pPr>
              <w:spacing w:after="40" w:before="20" w:line="259" w:lineRule="auto"/>
              <w:jc w:val="left"/>
            </w:pPr>
            <w:r>
              <w:rPr>
                <w:rFonts w:ascii="Noto Sans CJK SC" w:hAnsi="Noto Sans CJK SC" w:eastAsia="Noto Sans CJK SC"/>
                <w:b w:val="0"/>
                <w:color w:val="17252C"/>
                <w:sz w:val="20"/>
              </w:rPr>
              <w:t>黑坑 塘库湖河；温度 水深 溶氧 底质 水流</w:t>
            </w:r>
          </w:p>
        </w:tc>
        <w:tc>
          <w:tcPr>
            <w:tcW w:type="dxa" w:w="4234"/>
            <w:vAlign w:val="center"/>
            <w:shd w:fill="FFFFFF"/>
          </w:tcPr>
          <w:p>
            <w:pPr>
              <w:spacing w:after="40" w:before="20" w:line="259" w:lineRule="auto"/>
              <w:jc w:val="left"/>
            </w:pPr>
            <w:r>
              <w:rPr>
                <w:rFonts w:ascii="Noto Sans CJK SC" w:hAnsi="Noto Sans CJK SC" w:eastAsia="Noto Sans CJK SC"/>
                <w:b w:val="0"/>
                <w:color w:val="17252C"/>
                <w:sz w:val="20"/>
              </w:rPr>
              <w:t>呈现方式 稳定性 环境排查和候选位置</w:t>
            </w:r>
          </w:p>
        </w:tc>
      </w:tr>
      <w:tr>
        <w:trPr>
          <w:cantSplit/>
        </w:trPr>
        <w:tc>
          <w:tcPr>
            <w:tcW w:type="dxa" w:w="1584"/>
            <w:vAlign w:val="center"/>
            <w:shd w:fill="F1F5F7"/>
          </w:tcPr>
          <w:p>
            <w:pPr>
              <w:spacing w:after="40" w:before="20" w:line="259" w:lineRule="auto"/>
              <w:jc w:val="center"/>
            </w:pPr>
            <w:r>
              <w:rPr>
                <w:rFonts w:ascii="Noto Sans CJK SC" w:hAnsi="Noto Sans CJK SC" w:eastAsia="Noto Sans CJK SC"/>
                <w:b w:val="0"/>
                <w:color w:val="17252C"/>
                <w:sz w:val="20"/>
              </w:rPr>
              <w:t>作钓限制</w:t>
            </w:r>
          </w:p>
        </w:tc>
        <w:tc>
          <w:tcPr>
            <w:tcW w:type="dxa" w:w="4464"/>
            <w:vAlign w:val="center"/>
            <w:shd w:fill="F1F5F7"/>
          </w:tcPr>
          <w:p>
            <w:pPr>
              <w:spacing w:after="40" w:before="20" w:line="259" w:lineRule="auto"/>
              <w:jc w:val="left"/>
            </w:pPr>
            <w:r>
              <w:rPr>
                <w:rFonts w:ascii="Noto Sans CJK SC" w:hAnsi="Noto Sans CJK SC" w:eastAsia="Noto Sans CJK SC"/>
                <w:b w:val="0"/>
                <w:color w:val="17252C"/>
                <w:sz w:val="20"/>
              </w:rPr>
              <w:t>单钩 禁活饵 禁散窝 禁带轮 限竿长</w:t>
            </w:r>
          </w:p>
        </w:tc>
        <w:tc>
          <w:tcPr>
            <w:tcW w:type="dxa" w:w="4234"/>
            <w:vAlign w:val="center"/>
            <w:shd w:fill="F1F5F7"/>
          </w:tcPr>
          <w:p>
            <w:pPr>
              <w:spacing w:after="40" w:before="20" w:line="259" w:lineRule="auto"/>
              <w:jc w:val="left"/>
            </w:pPr>
            <w:r>
              <w:rPr>
                <w:rFonts w:ascii="Noto Sans CJK SC" w:hAnsi="Noto Sans CJK SC" w:eastAsia="Noto Sans CJK SC"/>
                <w:b w:val="0"/>
                <w:color w:val="17252C"/>
                <w:sz w:val="20"/>
              </w:rPr>
              <w:t>整套替换冲突建议，无法满足时标记条件不足</w:t>
            </w:r>
          </w:p>
        </w:tc>
      </w:tr>
      <w:tr>
        <w:trPr>
          <w:cantSplit/>
        </w:trPr>
        <w:tc>
          <w:tcPr>
            <w:tcW w:type="dxa" w:w="1584"/>
            <w:vAlign w:val="center"/>
            <w:shd w:fill="FFFFFF"/>
          </w:tcPr>
          <w:p>
            <w:pPr>
              <w:spacing w:after="40" w:before="20" w:line="259" w:lineRule="auto"/>
              <w:jc w:val="center"/>
            </w:pPr>
            <w:r>
              <w:rPr>
                <w:rFonts w:ascii="Noto Sans CJK SC" w:hAnsi="Noto Sans CJK SC" w:eastAsia="Noto Sans CJK SC"/>
                <w:b w:val="0"/>
                <w:color w:val="17252C"/>
                <w:sz w:val="20"/>
              </w:rPr>
              <w:t>反馈</w:t>
            </w:r>
          </w:p>
        </w:tc>
        <w:tc>
          <w:tcPr>
            <w:tcW w:type="dxa" w:w="4464"/>
            <w:vAlign w:val="center"/>
            <w:shd w:fill="FFFFFF"/>
          </w:tcPr>
          <w:p>
            <w:pPr>
              <w:spacing w:after="40" w:before="20" w:line="259" w:lineRule="auto"/>
              <w:jc w:val="left"/>
            </w:pPr>
            <w:r>
              <w:rPr>
                <w:rFonts w:ascii="Noto Sans CJK SC" w:hAnsi="Noto Sans CJK SC" w:eastAsia="Noto Sans CJK SC"/>
                <w:b w:val="0"/>
                <w:color w:val="17252C"/>
                <w:sz w:val="20"/>
              </w:rPr>
              <w:t>正口稳定 空竿多 外挂多 脱钩 断线</w:t>
            </w:r>
          </w:p>
        </w:tc>
        <w:tc>
          <w:tcPr>
            <w:tcW w:type="dxa" w:w="4234"/>
            <w:vAlign w:val="center"/>
            <w:shd w:fill="FFFFFF"/>
          </w:tcPr>
          <w:p>
            <w:pPr>
              <w:spacing w:after="40" w:before="20" w:line="259" w:lineRule="auto"/>
              <w:jc w:val="left"/>
            </w:pPr>
            <w:r>
              <w:rPr>
                <w:rFonts w:ascii="Noto Sans CJK SC" w:hAnsi="Noto Sans CJK SC" w:eastAsia="Noto Sans CJK SC"/>
                <w:b w:val="0"/>
                <w:color w:val="17252C"/>
                <w:sz w:val="20"/>
              </w:rPr>
              <w:t>给出对应检查，保留强度与规则边界</w:t>
            </w:r>
          </w:p>
        </w:tc>
      </w:tr>
    </w:tbl>
    <w:p>
      <w:pPr>
        <w:spacing w:after="0"/>
      </w:pPr>
      <w:r>
        <w:rPr>
          <w:sz w:val="6"/>
        </w:rPr>
      </w:r>
    </w:p>
    <w:p>
      <w:pPr>
        <w:pStyle w:val="Heading2"/>
      </w:pPr>
      <w:r>
        <w:t>规则冲突如何处理</w:t>
      </w:r>
    </w:p>
    <w:p>
      <w:r>
        <w:t>限制与明显鱼体异常优先，其次是装备承载和能否稳定呈现，再到鱼种摄食方式，最后才是滑口、饵味和频率优化。低氧触发时不同时保留高频抽窝；鲢鳙强走水时先找可控水域；巨物且禁带轮时明确专用装备与场地前提。</w:t>
      </w:r>
    </w:p>
    <w:p>
      <w:pPr>
        <w:pStyle w:val="Heading2"/>
      </w:pPr>
      <w:r>
        <w:t>需要实钓继续补充的内容</w:t>
      </w:r>
    </w:p>
    <w:p>
      <w:r>
        <w:t>不同塘的投喂史、具体商品饵和添加剂浓度、品牌实测结强、季节性鱼路，以及长期重复钓放后的反应，应以真实记录补充。生物学资料和经验参数先用于组织试钓，再用持续反馈检验效果。</w:t>
      </w:r>
    </w:p>
    <w:p>
      <w:pPr>
        <w:pStyle w:val="Heading1"/>
        <w:pageBreakBefore/>
      </w:pPr>
      <w:r>
        <w:t>资料来源与适用范围</w:t>
      </w:r>
    </w:p>
    <w:p>
      <w:r>
        <w:t>检索与核对日期为2026年9月24日。以下资料分别支持物种、水环境、行为机制或装备规格。具体线组、配饵比例、补窝克数、节奏和调层距离是本报告的实务建议，并非下列文献验证的最佳方案。</w:t>
      </w:r>
    </w:p>
    <w:p>
      <w:pPr>
        <w:keepNext/>
      </w:pPr>
      <w:r>
        <w:rPr>
          <w:sz w:val="19"/>
        </w:rPr>
        <w:t>[S01] FAO Improving Pond Water Quality</w:t>
      </w:r>
    </w:p>
    <w:p>
      <w:pPr>
        <w:keepNext/>
      </w:pPr>
      <w:r>
        <w:rPr>
          <w:sz w:val="18"/>
        </w:rPr>
        <w:t>支持内容：池塘溶氧昼夜变化和分层采样，养殖鱼类环境参考 适用边界：养殖指导不能直接作为咬钩率或固定开口时刻的模型</w:t>
      </w:r>
    </w:p>
    <w:p>
      <w:pPr>
        <w:spacing w:after="180"/>
      </w:pPr>
      <w:r>
        <w:rPr>
          <w:sz w:val="16"/>
        </w:rPr>
      </w:r>
      <w:hyperlink r:id="rId10">
        <w:r>
          <w:rPr>
            <w:color w:val="175A78"/>
          </w:rPr>
          <w:t>https://www.fao.org/fishery/static/FAO_Training/FAO_Training/General/x6709e/x6709e02.htm</w:t>
        </w:r>
      </w:hyperlink>
    </w:p>
    <w:p>
      <w:pPr>
        <w:keepNext/>
      </w:pPr>
      <w:r>
        <w:rPr>
          <w:sz w:val="19"/>
        </w:rPr>
        <w:t>[S02] US EPA Dissolved Oxygen</w:t>
      </w:r>
    </w:p>
    <w:p>
      <w:pPr>
        <w:keepNext/>
      </w:pPr>
      <w:r>
        <w:rPr>
          <w:sz w:val="18"/>
        </w:rPr>
        <w:t>支持内容：低氧候选原因、现场迹象和实测诊断 适用边界：浮头、臭味等只能提高怀疑，不能单独确认原因</w:t>
      </w:r>
    </w:p>
    <w:p>
      <w:pPr>
        <w:spacing w:after="180"/>
      </w:pPr>
      <w:r>
        <w:rPr>
          <w:sz w:val="16"/>
        </w:rPr>
      </w:r>
      <w:hyperlink r:id="rId11">
        <w:r>
          <w:rPr>
            <w:color w:val="175A78"/>
          </w:rPr>
          <w:t>https://www.epa.gov/caddis/dissolved-oxygen</w:t>
        </w:r>
      </w:hyperlink>
    </w:p>
    <w:p>
      <w:pPr>
        <w:keepNext/>
      </w:pPr>
      <w:r>
        <w:rPr>
          <w:sz w:val="19"/>
        </w:rPr>
        <w:t>[S03] USGS DOTABLES</w:t>
      </w:r>
    </w:p>
    <w:p>
      <w:pPr>
        <w:keepNext/>
      </w:pPr>
      <w:r>
        <w:rPr>
          <w:sz w:val="18"/>
        </w:rPr>
        <w:t>支持内容：水温、气压、盐度与氧平衡溶解度 适用边界：平衡溶解度不等于池塘实测溶氧</w:t>
      </w:r>
    </w:p>
    <w:p>
      <w:pPr>
        <w:spacing w:after="180"/>
      </w:pPr>
      <w:r>
        <w:rPr>
          <w:sz w:val="16"/>
        </w:rPr>
      </w:r>
      <w:hyperlink r:id="rId12">
        <w:r>
          <w:rPr>
            <w:color w:val="175A78"/>
          </w:rPr>
          <w:t>https://water.usgs.gov/water-resources/software/DOTABLES/</w:t>
        </w:r>
      </w:hyperlink>
    </w:p>
    <w:p>
      <w:pPr>
        <w:keepNext/>
      </w:pPr>
      <w:r>
        <w:rPr>
          <w:sz w:val="19"/>
        </w:rPr>
        <w:t>[S04] JAFTMA 尼龙和氟碳单丝标准直径</w:t>
      </w:r>
    </w:p>
    <w:p>
      <w:pPr>
        <w:keepNext/>
      </w:pPr>
      <w:r>
        <w:rPr>
          <w:sz w:val="18"/>
        </w:rPr>
        <w:t>支持内容：单丝线号与标称直径，强度由厂商确定 适用边界：不适用于把PE号数按同一直径表替换，也不规定鱼重承诺</w:t>
      </w:r>
    </w:p>
    <w:p>
      <w:pPr>
        <w:spacing w:after="180"/>
      </w:pPr>
      <w:r>
        <w:rPr>
          <w:sz w:val="16"/>
        </w:rPr>
      </w:r>
      <w:hyperlink r:id="rId13">
        <w:r>
          <w:rPr>
            <w:color w:val="175A78"/>
          </w:rPr>
          <w:t>https://www.jaftma.or.jp/service/images/nylon.pdf</w:t>
        </w:r>
      </w:hyperlink>
    </w:p>
    <w:p>
      <w:pPr>
        <w:keepNext/>
      </w:pPr>
      <w:r>
        <w:rPr>
          <w:sz w:val="19"/>
        </w:rPr>
        <w:t>[S05] DAIWA 道糸与ハリス</w:t>
      </w:r>
    </w:p>
    <w:p>
      <w:pPr>
        <w:keepNext/>
      </w:pPr>
      <w:r>
        <w:rPr>
          <w:sz w:val="18"/>
        </w:rPr>
        <w:t>支持内容：尼龙、氟碳和PE材料特点及线组匹配 适用边界：厂商入门指导；本报告鱼种线号表为实务起点</w:t>
      </w:r>
    </w:p>
    <w:p>
      <w:pPr>
        <w:spacing w:after="180"/>
      </w:pPr>
      <w:r>
        <w:rPr>
          <w:sz w:val="16"/>
        </w:rPr>
      </w:r>
      <w:hyperlink r:id="rId14">
        <w:r>
          <w:rPr>
            <w:color w:val="175A78"/>
          </w:rPr>
          <w:t>https://www.daiwa.com/jp/beginner/tackle/harisu</w:t>
        </w:r>
      </w:hyperlink>
    </w:p>
    <w:p>
      <w:pPr>
        <w:keepNext/>
      </w:pPr>
      <w:r>
        <w:rPr>
          <w:sz w:val="19"/>
        </w:rPr>
        <w:t>[S06] FAO：Cultured aquatic species fact sheet — Cyprinus carpio（2009）</w:t>
      </w:r>
    </w:p>
    <w:p>
      <w:pPr>
        <w:keepNext/>
      </w:pPr>
      <w:r>
        <w:rPr>
          <w:sz w:val="18"/>
        </w:rPr>
        <w:t>支持内容：官方物种资料：鲤鱼以底层活动为主但可在其他水层摄食；杂食并利用谷物；23–30℃为较适宜生长范围。 适用边界：养殖生物学资料；生长、耐受或存活范围不能当作上钩率和最佳钓时阈值。</w:t>
      </w:r>
    </w:p>
    <w:p>
      <w:pPr>
        <w:spacing w:after="180"/>
      </w:pPr>
      <w:r>
        <w:rPr>
          <w:sz w:val="16"/>
        </w:rPr>
      </w:r>
      <w:hyperlink r:id="rId15">
        <w:r>
          <w:rPr>
            <w:color w:val="175A78"/>
          </w:rPr>
          <w:t>https://www.fao.org/fishery/docs/CDrom/aquaculture/I1129m/file/en/en_commoncarp.htm</w:t>
        </w:r>
      </w:hyperlink>
    </w:p>
    <w:p>
      <w:pPr>
        <w:keepNext/>
      </w:pPr>
      <w:r>
        <w:rPr>
          <w:sz w:val="19"/>
        </w:rPr>
        <w:t>[S07] Lovén Wallerius et al. (2020). Hook Avoidance Induced by Private and Social Learning in Common Carp</w:t>
      </w:r>
    </w:p>
    <w:p>
      <w:pPr>
        <w:keepNext/>
      </w:pPr>
      <w:r>
        <w:rPr>
          <w:sz w:val="18"/>
        </w:rPr>
        <w:t>支持内容：幼鲤实验：直接或观察钓获后2小时的钓组回避增加；5–7天的直接经历效应较稳定。散落玉米与带无钩模拟线组的玉米引发不同摄取反应。DOI:10.1002/tafs.10246。 适用边界：鱼平均约58g、实验室约17℃，不代表1–5kg伤鱼黑坑；未验证任何小药和固定线组最优。</w:t>
      </w:r>
    </w:p>
    <w:p>
      <w:pPr>
        <w:spacing w:after="180"/>
      </w:pPr>
      <w:r>
        <w:rPr>
          <w:sz w:val="16"/>
        </w:rPr>
      </w:r>
      <w:hyperlink r:id="rId16">
        <w:r>
          <w:rPr>
            <w:color w:val="175A78"/>
          </w:rPr>
          <w:t>https://academic.oup.com/tafs/article/149/4/498/7819381</w:t>
        </w:r>
      </w:hyperlink>
    </w:p>
    <w:p>
      <w:pPr>
        <w:keepNext/>
      </w:pPr>
      <w:r>
        <w:rPr>
          <w:sz w:val="19"/>
        </w:rPr>
        <w:t>[S08] Czapla et al. (2023). Reexamining one-trial learning in common carp: No evidence for hook avoidance lasting more than seven months</w:t>
      </w:r>
    </w:p>
    <w:p>
      <w:pPr>
        <w:keepNext/>
      </w:pPr>
      <w:r>
        <w:rPr>
          <w:sz w:val="18"/>
        </w:rPr>
        <w:t>支持内容：一次钓获经历后7及14个月复测：7个月时直接经历组摄取较迟，但600秒最终摄取率未显示差异；未重现一年持续降低可钓性的早期结果。DOI:10.1016/j.fishres.2022.106573。 适用边界：不能推成所有鱼7个月必定遗忘；一次经历不同于长期反复强化；作者提示品系、试验情境和功效限制。</w:t>
      </w:r>
    </w:p>
    <w:p>
      <w:pPr>
        <w:spacing w:after="180"/>
      </w:pPr>
      <w:r>
        <w:rPr>
          <w:sz w:val="16"/>
        </w:rPr>
      </w:r>
      <w:hyperlink r:id="rId17">
        <w:r>
          <w:rPr>
            <w:color w:val="175A78"/>
          </w:rPr>
          <w:t>https://www.fecpl.ca/wp-content/uploads/2022/11/czapla-et-al-2023.pdf</w:t>
        </w:r>
      </w:hyperlink>
    </w:p>
    <w:p>
      <w:pPr>
        <w:keepNext/>
      </w:pPr>
      <w:r>
        <w:rPr>
          <w:sz w:val="19"/>
        </w:rPr>
        <w:t>[S09] Klefoth et al. (2013). Impacts of domestication on angling vulnerability of common carp</w:t>
      </w:r>
    </w:p>
    <w:p>
      <w:pPr>
        <w:keepNext/>
      </w:pPr>
      <w:r>
        <w:rPr>
          <w:sz w:val="18"/>
        </w:rPr>
        <w:t>支持内容：两类鲤鱼在池塘及实验室的比较显示，可钓性与觅食胆量、摄食量相关，且随钓捕经历增加而下降；组间食物偏好无显著差别。 适用边界：特定养殖基因型及条件，不能推广为镜鲤必比所有有鳞鲤好钓；不证明换味一定解决钓组回避。</w:t>
      </w:r>
    </w:p>
    <w:p>
      <w:pPr>
        <w:spacing w:after="180"/>
      </w:pPr>
      <w:r>
        <w:rPr>
          <w:sz w:val="16"/>
        </w:rPr>
      </w:r>
      <w:hyperlink r:id="rId18">
        <w:r>
          <w:rPr>
            <w:color w:val="175A78"/>
          </w:rPr>
          <w:t>https://onlinelibrary.wiley.com/doi/abs/10.1111/j.1365-2400.2012.00865.x</w:t>
        </w:r>
      </w:hyperlink>
    </w:p>
    <w:p>
      <w:pPr>
        <w:keepNext/>
      </w:pPr>
      <w:r>
        <w:rPr>
          <w:sz w:val="19"/>
        </w:rPr>
        <w:t>[S10] Gamakatsu 官方：伊勢尼产品规格</w:t>
      </w:r>
    </w:p>
    <w:p>
      <w:pPr>
        <w:keepNext/>
      </w:pPr>
      <w:r>
        <w:rPr>
          <w:sz w:val="18"/>
        </w:rPr>
        <w:t>支持内容：官方伊势尼钩型、号数及成品绑线规格参考。 适用边界：厂商规格用来核实产品存在及钩型；不同品牌同号尺寸和强度有差异，不是本报告鱼重—钩号搭配的科学验证。</w:t>
      </w:r>
    </w:p>
    <w:p>
      <w:pPr>
        <w:spacing w:after="180"/>
      </w:pPr>
      <w:r>
        <w:rPr>
          <w:sz w:val="16"/>
        </w:rPr>
      </w:r>
      <w:hyperlink r:id="rId19">
        <w:r>
          <w:rPr>
            <w:color w:val="175A78"/>
          </w:rPr>
          <w:t>https://www.gamakatsu.co.jp/products/12-206/</w:t>
        </w:r>
      </w:hyperlink>
    </w:p>
    <w:p>
      <w:pPr>
        <w:keepNext/>
      </w:pPr>
      <w:r>
        <w:rPr>
          <w:sz w:val="19"/>
        </w:rPr>
        <w:t>[S11] MARUKYU 官方：鲤鱼吸入饵、浮子钓用饵</w:t>
      </w:r>
    </w:p>
    <w:p>
      <w:pPr>
        <w:keepNext/>
      </w:pPr>
      <w:r>
        <w:rPr>
          <w:sz w:val="18"/>
        </w:rPr>
        <w:t>支持内容：官方商品说明展示谷物、薯类、鱼粉、颗粒与黏结/散化的多种组合，并分别给出产品开饵要求。 适用边界：商品说明的诱鱼或解除戒备宣传不是独立对照证据；本报告不采用其效果承诺，只参考状态和开饵方法。</w:t>
      </w:r>
    </w:p>
    <w:p>
      <w:pPr>
        <w:spacing w:after="180"/>
      </w:pPr>
      <w:r>
        <w:rPr>
          <w:sz w:val="16"/>
        </w:rPr>
      </w:r>
      <w:hyperlink r:id="rId20">
        <w:r>
          <w:rPr>
            <w:color w:val="175A78"/>
          </w:rPr>
          <w:t>https://www.marukyu-global.com/marukyu_ch/carp_descsu.html</w:t>
        </w:r>
      </w:hyperlink>
    </w:p>
    <w:p>
      <w:pPr>
        <w:keepNext/>
      </w:pPr>
      <w:r>
        <w:rPr>
          <w:sz w:val="19"/>
        </w:rPr>
        <w:t>[S12] DAIWA 官方：浮漂的作用、类型与使用基础</w:t>
      </w:r>
    </w:p>
    <w:p>
      <w:pPr>
        <w:keepNext/>
      </w:pPr>
      <w:r>
        <w:rPr>
          <w:sz w:val="18"/>
        </w:rPr>
        <w:t>支持内容：浮漂需结合水域、风流、视认距离和细微鱼讯选择，并通过配铅调整工作状态。 适用边界：一般入门指南，不能证明某吃铅克数最灵敏；本文台钓具体数值是经验起点。</w:t>
      </w:r>
    </w:p>
    <w:p>
      <w:pPr>
        <w:spacing w:after="180"/>
      </w:pPr>
      <w:r>
        <w:rPr>
          <w:sz w:val="16"/>
        </w:rPr>
      </w:r>
      <w:hyperlink r:id="rId21">
        <w:r>
          <w:rPr>
            <w:color w:val="175A78"/>
          </w:rPr>
          <w:t>https://www.daiwa.com/jp/beginner/tackle/float</w:t>
        </w:r>
      </w:hyperlink>
    </w:p>
    <w:p>
      <w:pPr>
        <w:keepNext/>
      </w:pPr>
      <w:r>
        <w:rPr>
          <w:sz w:val="19"/>
        </w:rPr>
        <w:t>[S13] Chen &amp; Zeng (2022). Previous experience alters individual vulnerability to angling of crucian carp (Carassius auratus)</w:t>
      </w:r>
    </w:p>
    <w:p>
      <w:pPr>
        <w:keepNext/>
      </w:pPr>
      <w:r>
        <w:rPr>
          <w:sz w:val="18"/>
        </w:rPr>
        <w:t>支持内容：幼鲫实验以直接反复钓捕、观察学习、对照及混合组比较，每处理5个重复；直接钓捕组再次可钓性下降，未得到同样的视觉社会学习证据。DOI:10.1016/j.beproc.2021.104565。 适用边界：实验室幼魚、3天练习；不证明所有成鲫、养殖杂交鲫或白鲫都相同，也未检验固定饵料或小药配方。</w:t>
      </w:r>
    </w:p>
    <w:p>
      <w:pPr>
        <w:spacing w:after="180"/>
      </w:pPr>
      <w:r>
        <w:rPr>
          <w:sz w:val="16"/>
        </w:rPr>
      </w:r>
      <w:hyperlink r:id="rId22">
        <w:r>
          <w:rPr>
            <w:color w:val="175A78"/>
          </w:rPr>
          <w:t>https://pubmed.ncbi.nlm.nih.gov/34929304/</w:t>
        </w:r>
      </w:hyperlink>
    </w:p>
    <w:p>
      <w:pPr>
        <w:keepNext/>
      </w:pPr>
      <w:r>
        <w:rPr>
          <w:sz w:val="19"/>
        </w:rPr>
        <w:t>[S14] Sun et al. (2012). Responses of crucian carp Carassius auratus to long-term exposure to nitrite and low dissolved oxygen levels</w:t>
      </w:r>
    </w:p>
    <w:p>
      <w:pPr>
        <w:keepNext/>
      </w:pPr>
      <w:r>
        <w:rPr>
          <w:sz w:val="18"/>
        </w:rPr>
        <w:t>支持内容：30天幼鲫试验比较DO 2和6mg/L与不同亚硝酸盐水平；低氧处理降低摄食率及生长表现。DOI:10.1016/j.bse.2012.06.011。 适用边界：长期养殖试验，不能将2mg/L机械地设为所有现场必停口阈值；现场应测溶氧并结合呼吸与摄食行为。</w:t>
      </w:r>
    </w:p>
    <w:p>
      <w:pPr>
        <w:spacing w:after="180"/>
      </w:pPr>
      <w:r>
        <w:rPr>
          <w:sz w:val="16"/>
        </w:rPr>
      </w:r>
      <w:hyperlink r:id="rId23">
        <w:r>
          <w:rPr>
            <w:color w:val="175A78"/>
          </w:rPr>
          <w:t>https://www.sciencedirect.com/science/article/pii/S0305197812001238</w:t>
        </w:r>
      </w:hyperlink>
    </w:p>
    <w:p>
      <w:pPr>
        <w:keepNext/>
      </w:pPr>
      <w:r>
        <w:rPr>
          <w:sz w:val="19"/>
        </w:rPr>
        <w:t>[S15] Gamakatsu 官方：袖钩及成品绑线规格</w:t>
      </w:r>
    </w:p>
    <w:p>
      <w:pPr>
        <w:keepNext/>
      </w:pPr>
      <w:r>
        <w:rPr>
          <w:sz w:val="18"/>
        </w:rPr>
        <w:t>支持内容：官方列出袖钩1–10号及部分45cm成品绑线规格，可用于核实钩型和配套产品；另有细地袖产品。 适用边界：产品规格不能证明某鱼重必须使用某钩号；本报告并不照搬45cm作为双钩子线最优长度。</w:t>
      </w:r>
    </w:p>
    <w:p>
      <w:pPr>
        <w:spacing w:after="180"/>
      </w:pPr>
      <w:r>
        <w:rPr>
          <w:sz w:val="16"/>
        </w:rPr>
      </w:r>
      <w:hyperlink r:id="rId24">
        <w:r>
          <w:rPr>
            <w:color w:val="175A78"/>
          </w:rPr>
          <w:t>https://www.gamakatsu.co.jp/products/12-014/</w:t>
        </w:r>
      </w:hyperlink>
    </w:p>
    <w:p>
      <w:pPr>
        <w:keepNext/>
      </w:pPr>
      <w:r>
        <w:rPr>
          <w:sz w:val="19"/>
        </w:rPr>
        <w:t>[S16] MARUKYU 官方：鲫鱼小麦蛋白饵</w:t>
      </w:r>
    </w:p>
    <w:p>
      <w:pPr>
        <w:keepNext/>
      </w:pPr>
      <w:r>
        <w:rPr>
          <w:sz w:val="18"/>
        </w:rPr>
        <w:t>支持内容：官方说明展示轻、软、持钩、比重及水流适应等不同状态，产品各有水比和使用方向。 适用边界：厂家适用性声明不等于独立验证；其日式白鲫经验不可当作国内全部鲫类生物学。本报告只借鉴状态控制与按产品开饵。</w:t>
      </w:r>
    </w:p>
    <w:p>
      <w:pPr>
        <w:spacing w:after="180"/>
      </w:pPr>
      <w:r>
        <w:rPr>
          <w:sz w:val="16"/>
        </w:rPr>
      </w:r>
      <w:hyperlink r:id="rId25">
        <w:r>
          <w:rPr>
            <w:color w:val="175A78"/>
          </w:rPr>
          <w:t>https://www.marukyu-global.com/marukyu_ch/crucian_descgt.html</w:t>
        </w:r>
      </w:hyperlink>
    </w:p>
    <w:p>
      <w:pPr>
        <w:keepNext/>
      </w:pPr>
      <w:r>
        <w:rPr>
          <w:sz w:val="19"/>
        </w:rPr>
        <w:t>[S17] MARUKYU 官方：鲫鱼雾化、团子饵</w:t>
      </w:r>
    </w:p>
    <w:p>
      <w:pPr>
        <w:keepNext/>
      </w:pPr>
      <w:r>
        <w:rPr>
          <w:sz w:val="18"/>
        </w:rPr>
        <w:t>支持内容：展示轻质、较高比重、黏性调节及散化控制的商品类型。 适用边界：不是浓味、雾化或特定添加物必然有效的证据；具体配方需要同塘对照。</w:t>
      </w:r>
    </w:p>
    <w:p>
      <w:pPr>
        <w:spacing w:after="180"/>
      </w:pPr>
      <w:r>
        <w:rPr>
          <w:sz w:val="16"/>
        </w:rPr>
      </w:r>
      <w:hyperlink r:id="rId26">
        <w:r>
          <w:rPr>
            <w:color w:val="175A78"/>
          </w:rPr>
          <w:t>https://www.marukyu-global.com/marukyu_ch/crucian_descbd.html</w:t>
        </w:r>
      </w:hyperlink>
    </w:p>
    <w:p>
      <w:pPr>
        <w:keepNext/>
      </w:pPr>
      <w:r>
        <w:rPr>
          <w:sz w:val="19"/>
        </w:rPr>
        <w:t>[S18] FAO Cultured Aquatic Species Information Programme: Hypophthalmichthys molitrix</w:t>
      </w:r>
    </w:p>
    <w:p>
      <w:pPr>
        <w:keepNext/>
      </w:pPr>
      <w:r>
        <w:rPr>
          <w:sz w:val="18"/>
        </w:rPr>
        <w:t>支持内容：白鲢滤食与天然食物构成；静水或缓流水栖息；收捕操作、缺氧和扰动的关系。 适用边界：官方物种资料；其中繁殖温度、存活温度不能用作成鱼咬钩阈值；不提供黑坑雾化配方和线组。</w:t>
      </w:r>
    </w:p>
    <w:p>
      <w:pPr>
        <w:spacing w:after="180"/>
      </w:pPr>
      <w:r>
        <w:rPr>
          <w:sz w:val="16"/>
        </w:rPr>
      </w:r>
      <w:hyperlink r:id="rId27">
        <w:r>
          <w:rPr>
            <w:color w:val="175A78"/>
          </w:rPr>
          <w:t>https://www.fao.org/fishery/docs/CDrom/aquaculture/I1129m/file/en/en_silvercarp.htm</w:t>
        </w:r>
      </w:hyperlink>
    </w:p>
    <w:p>
      <w:pPr>
        <w:keepNext/>
      </w:pPr>
      <w:r>
        <w:rPr>
          <w:sz w:val="19"/>
        </w:rPr>
        <w:t>[S19] FAO Cultured Aquatic Species Information Programme: Hypophthalmichthys nobilis</w:t>
      </w:r>
    </w:p>
    <w:p>
      <w:pPr>
        <w:keepNext/>
      </w:pPr>
      <w:r>
        <w:rPr>
          <w:sz w:val="18"/>
        </w:rPr>
        <w:t>支持内容：鳙鱼天然食物偏浮游动物，可利用谷物加工副产物；常活动于水体上部。 适用边界：一般生态描述，不说明每个池塘鱼层；耐温范围不等于摄食适温。</w:t>
      </w:r>
    </w:p>
    <w:p>
      <w:pPr>
        <w:spacing w:after="180"/>
      </w:pPr>
      <w:r>
        <w:rPr>
          <w:sz w:val="16"/>
        </w:rPr>
      </w:r>
      <w:hyperlink r:id="rId28">
        <w:r>
          <w:rPr>
            <w:color w:val="175A78"/>
          </w:rPr>
          <w:t>https://www.fao.org/fishery/docs/CDrom/aquaculture/I1129m/file/en/en_bigheadcarp.htm</w:t>
        </w:r>
      </w:hyperlink>
    </w:p>
    <w:p>
      <w:pPr>
        <w:keepNext/>
      </w:pPr>
      <w:r>
        <w:rPr>
          <w:sz w:val="19"/>
        </w:rPr>
        <w:t>[S20] FAO — Ctenopharyngodon idellus, Cultured aquatic species fact sheets</w:t>
      </w:r>
    </w:p>
    <w:p>
      <w:pPr>
        <w:keepNext/>
      </w:pPr>
      <w:r>
        <w:rPr>
          <w:sz w:val="18"/>
        </w:rPr>
        <w:t>支持内容：草鱼自然食性、养殖条件接受颗粒与谷物副产物、通常中下层活动。 适用边界：养殖生物学资料，不能直接推出黑坑钩号、味型比例或最佳开口时刻。</w:t>
      </w:r>
    </w:p>
    <w:p>
      <w:pPr>
        <w:spacing w:after="180"/>
      </w:pPr>
      <w:r>
        <w:rPr>
          <w:sz w:val="16"/>
        </w:rPr>
      </w:r>
      <w:hyperlink r:id="rId29">
        <w:r>
          <w:rPr>
            <w:color w:val="175A78"/>
          </w:rPr>
          <w:t>https://www.fao.org/fishery/docs/CDrom/aquaculture/I1129m/file/en/en_grasscarp.htm</w:t>
        </w:r>
      </w:hyperlink>
    </w:p>
    <w:p>
      <w:pPr>
        <w:keepNext/>
      </w:pPr>
      <w:r>
        <w:rPr>
          <w:sz w:val="19"/>
        </w:rPr>
        <w:t>[S21] SUNLINE — QUEEN STAR nylon line specifications</w:t>
      </w:r>
    </w:p>
    <w:p>
      <w:pPr>
        <w:keepNext/>
      </w:pPr>
      <w:r>
        <w:rPr>
          <w:sz w:val="18"/>
        </w:rPr>
        <w:t>支持内容：官方尼龙线号、标准直径及该产品标称拉力对照。 适用边界：标称直线拉力不是湿态打结强度；同号不同品牌不能假设结强一致。</w:t>
      </w:r>
    </w:p>
    <w:p>
      <w:pPr>
        <w:spacing w:after="180"/>
      </w:pPr>
      <w:r>
        <w:rPr>
          <w:sz w:val="16"/>
        </w:rPr>
      </w:r>
      <w:hyperlink r:id="rId30">
        <w:r>
          <w:rPr>
            <w:color w:val="175A78"/>
          </w:rPr>
          <w:t>https://fishing.sunline.co.jp/english/line/197/</w:t>
        </w:r>
      </w:hyperlink>
    </w:p>
    <w:p>
      <w:pPr>
        <w:keepNext/>
      </w:pPr>
      <w:r>
        <w:rPr>
          <w:sz w:val="19"/>
        </w:rPr>
        <w:t>[S22] Gamakatsu — カン付伊勢尼 66-074</w:t>
      </w:r>
    </w:p>
    <w:p>
      <w:pPr>
        <w:keepNext/>
      </w:pPr>
      <w:r>
        <w:rPr>
          <w:sz w:val="18"/>
        </w:rPr>
        <w:t>支持内容：官方带环伊势尼型号及5—14号规格，是可核查的钩型参考。 适用边界：未提供鱼重到钩号的保证对应；国产伊势尼号数与该型号不可直接等同。</w:t>
      </w:r>
    </w:p>
    <w:p>
      <w:pPr>
        <w:spacing w:after="180"/>
      </w:pPr>
      <w:r>
        <w:rPr>
          <w:sz w:val="16"/>
        </w:rPr>
      </w:r>
      <w:hyperlink r:id="rId31">
        <w:r>
          <w:rPr>
            <w:color w:val="175A78"/>
          </w:rPr>
          <w:t>https://www.gamakatsu.co.jp/products/66-074/</w:t>
        </w:r>
      </w:hyperlink>
    </w:p>
    <w:p>
      <w:pPr>
        <w:keepNext/>
      </w:pPr>
      <w:r>
        <w:rPr>
          <w:sz w:val="19"/>
        </w:rPr>
        <w:t>[S23] SHIMANO — Playing Fish</w:t>
      </w:r>
    </w:p>
    <w:p>
      <w:pPr>
        <w:keepNext/>
      </w:pPr>
      <w:r>
        <w:rPr>
          <w:sz w:val="18"/>
        </w:rPr>
        <w:t>支持内容：竿身缓冲、带轮泄力的重要性；通常以线破断强度约1/4—1/3设初始泄力。 适用边界：一般操作建议；本文进一步以实际湿态结强中较低值和整套装备额定工作负荷作上限，仍需现场校准。</w:t>
      </w:r>
    </w:p>
    <w:p>
      <w:pPr>
        <w:spacing w:after="180"/>
      </w:pPr>
      <w:r>
        <w:rPr>
          <w:sz w:val="16"/>
        </w:rPr>
      </w:r>
      <w:hyperlink r:id="rId32">
        <w:r>
          <w:rPr>
            <w:color w:val="175A78"/>
          </w:rPr>
          <w:t>https://fish.shimano.com/en-AU/content/c/Articles/how-to/playing-fish.html</w:t>
        </w:r>
      </w:hyperlink>
    </w:p>
    <w:p>
      <w:pPr>
        <w:keepNext/>
      </w:pPr>
      <w:r>
        <w:rPr>
          <w:sz w:val="19"/>
        </w:rPr>
        <w:t>[S24] U.S. Fish &amp; Wildlife Service — Black Carp</w:t>
      </w:r>
    </w:p>
    <w:p>
      <w:pPr>
        <w:keepNext/>
      </w:pPr>
      <w:r>
        <w:rPr>
          <w:sz w:val="18"/>
        </w:rPr>
        <w:t>支持内容：青鱼主要靠近底部，成鱼摄食螺贝等无脊椎动物，用咽齿破壳。 适用边界：野生种群生物学说明，不验证某品牌螺、小药或钩线配方。</w:t>
      </w:r>
    </w:p>
    <w:p>
      <w:pPr>
        <w:spacing w:after="180"/>
      </w:pPr>
      <w:r>
        <w:rPr>
          <w:sz w:val="16"/>
        </w:rPr>
      </w:r>
      <w:hyperlink r:id="rId33">
        <w:r>
          <w:rPr>
            <w:color w:val="175A78"/>
          </w:rPr>
          <w:t>https://www.fws.gov/species/black-carp-mylopharyngodon-piceus</w:t>
        </w:r>
      </w:hyperlink>
    </w:p>
    <w:p>
      <w:pPr>
        <w:keepNext/>
      </w:pPr>
      <w:r>
        <w:rPr>
          <w:sz w:val="19"/>
        </w:rPr>
        <w:t>[S25] FAO — Training Manual Integrated Fish Farming in China</w:t>
      </w:r>
    </w:p>
    <w:p>
      <w:pPr>
        <w:keepNext/>
      </w:pPr>
      <w:r>
        <w:rPr>
          <w:sz w:val="18"/>
        </w:rPr>
        <w:t>支持内容：青鱼与草鱼食性不同，养殖条件下两者都可利用人工提供的饲料。 适用边界：历史养殖指导；不能把所有养殖塘推定为同一投喂习惯。</w:t>
      </w:r>
    </w:p>
    <w:p>
      <w:pPr>
        <w:spacing w:after="180"/>
      </w:pPr>
      <w:r>
        <w:rPr>
          <w:sz w:val="16"/>
        </w:rPr>
      </w:r>
      <w:hyperlink r:id="rId34">
        <w:r>
          <w:rPr>
            <w:color w:val="175A78"/>
          </w:rPr>
          <w:t>https://www.fao.org/4/ac233e/AC233E01.htm</w:t>
        </w:r>
      </w:hyperlink>
    </w:p>
    <w:p>
      <w:pPr>
        <w:keepNext/>
      </w:pPr>
      <w:r>
        <w:rPr>
          <w:sz w:val="19"/>
        </w:rPr>
        <w:t>[S26] Hodgins 2008, Mississippi State University — Development of a bioenergetic model for black carp</w:t>
      </w:r>
    </w:p>
    <w:p>
      <w:pPr>
        <w:keepNext/>
      </w:pPr>
      <w:r>
        <w:rPr>
          <w:sz w:val="18"/>
        </w:rPr>
        <w:t>支持内容：原始实验在20、25、30°C比较两种规格青鱼的天然饵料和配合饲料摄食/生长；两类饵料的温度响应不同。 适用边界：学位论文、实验饲养条件；不能推导10°C以下停口线、黑坑黄金时段或特定小药效果。</w:t>
      </w:r>
    </w:p>
    <w:p>
      <w:pPr>
        <w:spacing w:after="180"/>
      </w:pPr>
      <w:r>
        <w:rPr>
          <w:sz w:val="16"/>
        </w:rPr>
      </w:r>
      <w:hyperlink r:id="rId35">
        <w:r>
          <w:rPr>
            <w:color w:val="175A78"/>
          </w:rPr>
          <w:t>https://scholarsjunction.msstate.edu/td/1396/</w:t>
        </w:r>
      </w:hyperlink>
    </w:p>
    <w:p>
      <w:pPr>
        <w:keepNext/>
      </w:pPr>
      <w:r>
        <w:rPr>
          <w:sz w:val="19"/>
        </w:rPr>
        <w:t>[S27] SHIMANO — TX-2A Carp Cork rod specifications</w:t>
      </w:r>
    </w:p>
    <w:p>
      <w:pPr>
        <w:keepNext/>
      </w:pPr>
      <w:r>
        <w:rPr>
          <w:sz w:val="18"/>
        </w:rPr>
        <w:t>支持内容：官方可核查3.66 m、3.50+ lb的鲤鱼竿规格，为带轮大鱼竿类别示例。 适用边界：3.50 lb为此类竿的测试曲线标识，不等于最大鱼重、最大泄力或安全垂吊载荷；并非对该型号的购买推荐。</w:t>
      </w:r>
    </w:p>
    <w:p>
      <w:pPr>
        <w:spacing w:after="180"/>
      </w:pPr>
      <w:r>
        <w:rPr>
          <w:sz w:val="16"/>
        </w:rPr>
      </w:r>
      <w:hyperlink r:id="rId36">
        <w:r>
          <w:rPr>
            <w:color w:val="175A78"/>
          </w:rPr>
          <w:t>https://fish.shimano.com/es-ES/product/rods/carp/carp/p-tribal-tx-2a-carp-cork.html</w:t>
        </w:r>
      </w:hyperlink>
    </w:p>
    <w:p>
      <w:pPr>
        <w:keepNext/>
      </w:pPr>
      <w:r>
        <w:rPr>
          <w:sz w:val="19"/>
        </w:rPr>
        <w:t>[S28] FAO Cultured Aquatic Species Information Programme: Oreochromis niloticus</w:t>
      </w:r>
    </w:p>
    <w:p>
      <w:pPr>
        <w:keepNext/>
      </w:pPr>
      <w:r>
        <w:rPr>
          <w:sz w:val="18"/>
        </w:rPr>
        <w:t>支持内容：尼罗罗非食谱与一般生物学。 适用边界：不能直接外推所有罗非杂交种；温度偏好、繁殖与生长不是咬钩率。</w:t>
      </w:r>
    </w:p>
    <w:p>
      <w:pPr>
        <w:spacing w:after="180"/>
      </w:pPr>
      <w:r>
        <w:rPr>
          <w:sz w:val="16"/>
        </w:rPr>
      </w:r>
      <w:hyperlink r:id="rId37">
        <w:r>
          <w:rPr>
            <w:color w:val="175A78"/>
          </w:rPr>
          <w:t>https://www.fao.org/fishery/docs/CDrom/aquaculture/I1129m/file/en/en_niletilapia.htm</w:t>
        </w:r>
      </w:hyperlink>
    </w:p>
    <w:p>
      <w:pPr>
        <w:keepNext/>
      </w:pPr>
      <w:r>
        <w:rPr>
          <w:sz w:val="19"/>
        </w:rPr>
        <w:t>[S29] Azaza &amp; Dhraief: Modeling the Effects of Water Temperature on Growth Rates, Gastric Evacuation and the Return of Appetite in Juvenile Nile Tilapia</w:t>
      </w:r>
    </w:p>
    <w:p>
      <w:pPr>
        <w:keepNext/>
      </w:pPr>
      <w:r>
        <w:rPr>
          <w:sz w:val="18"/>
        </w:rPr>
        <w:t>支持内容：原始研究：4.3 g幼鱼，22、26、30、34℃处理，胃排空与食欲恢复受温度影响。DOI 10.5539/jas.v12n8p191； 适用边界：小幼鱼养殖试验，不是0.2–3 kg回锅鱼垂钓试验；不能把其模型输出直接当作抽竿间隔。</w:t>
      </w:r>
    </w:p>
    <w:p>
      <w:pPr>
        <w:spacing w:after="180"/>
      </w:pPr>
      <w:r>
        <w:rPr>
          <w:sz w:val="16"/>
        </w:rPr>
      </w:r>
      <w:hyperlink r:id="rId38">
        <w:r>
          <w:rPr>
            <w:color w:val="175A78"/>
          </w:rPr>
          <w:t>https://ccsenet.org/journal/index.php/jas/article/view/0/43274</w:t>
        </w:r>
      </w:hyperlink>
    </w:p>
    <w:p>
      <w:pPr>
        <w:keepNext/>
      </w:pPr>
      <w:r>
        <w:rPr>
          <w:sz w:val="19"/>
        </w:rPr>
        <w:t>[S30] Azaza et al.: Effects of water temperature on growth and sex ratio of juvenile Nile tilapia</w:t>
      </w:r>
    </w:p>
    <w:p>
      <w:pPr>
        <w:keepNext/>
      </w:pPr>
      <w:r>
        <w:rPr>
          <w:sz w:val="18"/>
        </w:rPr>
        <w:t>支持内容：原始研究：22、26、30、34℃幼鱼试验，26/30℃终末体重较高。 适用边界：出版商正文未读取；只使用摘要所载生长比较，不声称研究证明某一饵味或停口温度。</w:t>
      </w:r>
    </w:p>
    <w:p>
      <w:pPr>
        <w:spacing w:after="180"/>
      </w:pPr>
      <w:r>
        <w:rPr>
          <w:sz w:val="16"/>
        </w:rPr>
      </w:r>
      <w:hyperlink r:id="rId39">
        <w:r>
          <w:rPr>
            <w:color w:val="175A78"/>
          </w:rPr>
          <w:t>https://doi.org/10.1016/j.jtherbio.2007.05.007</w:t>
        </w:r>
      </w:hyperlink>
    </w:p>
    <w:sectPr w:rsidR="00FC693F" w:rsidRPr="0006063C" w:rsidSect="00034616">
      <w:footerReference w:type="default" r:id="rId9"/>
      <w:pgSz w:w="12240" w:h="15840"/>
      <w:pgMar w:top="893" w:right="979" w:bottom="864" w:left="979" w:header="331"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六类淡水鱼实战手册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Noto Sans CJK SC" w:hAnsi="Noto Sans CJK SC"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Noto Sans CJK SC" w:hAnsi="Noto Sans CJK SC" w:eastAsia="Noto Sans CJK SC"/>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Noto Sans CJK SC" w:hAnsi="Noto Sans CJK SC" w:eastAsia="Noto Sans CJK SC"/>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Noto Sans CJK SC" w:hAnsi="Noto Sans CJK SC" w:eastAsia="Noto Sans CJK SC"/>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Noto Sans CJK SC" w:hAnsi="Noto Sans CJK SC" w:eastAsia="Noto Sans CJK SC"/>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SC" w:hAnsi="Noto Sans CJK SC" w:eastAsia="Noto Sans CJK SC"/>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ao.org/fishery/static/FAO_Training/FAO_Training/General/x6709e/x6709e02.htm" TargetMode="External"/><Relationship Id="rId11" Type="http://schemas.openxmlformats.org/officeDocument/2006/relationships/hyperlink" Target="https://www.epa.gov/caddis/dissolved-oxygen" TargetMode="External"/><Relationship Id="rId12" Type="http://schemas.openxmlformats.org/officeDocument/2006/relationships/hyperlink" Target="https://water.usgs.gov/water-resources/software/DOTABLES/" TargetMode="External"/><Relationship Id="rId13" Type="http://schemas.openxmlformats.org/officeDocument/2006/relationships/hyperlink" Target="https://www.jaftma.or.jp/service/images/nylon.pdf" TargetMode="External"/><Relationship Id="rId14" Type="http://schemas.openxmlformats.org/officeDocument/2006/relationships/hyperlink" Target="https://www.daiwa.com/jp/beginner/tackle/harisu" TargetMode="External"/><Relationship Id="rId15" Type="http://schemas.openxmlformats.org/officeDocument/2006/relationships/hyperlink" Target="https://www.fao.org/fishery/docs/CDrom/aquaculture/I1129m/file/en/en_commoncarp.htm" TargetMode="External"/><Relationship Id="rId16" Type="http://schemas.openxmlformats.org/officeDocument/2006/relationships/hyperlink" Target="https://academic.oup.com/tafs/article/149/4/498/7819381" TargetMode="External"/><Relationship Id="rId17" Type="http://schemas.openxmlformats.org/officeDocument/2006/relationships/hyperlink" Target="https://www.fecpl.ca/wp-content/uploads/2022/11/czapla-et-al-2023.pdf" TargetMode="External"/><Relationship Id="rId18" Type="http://schemas.openxmlformats.org/officeDocument/2006/relationships/hyperlink" Target="https://onlinelibrary.wiley.com/doi/abs/10.1111/j.1365-2400.2012.00865.x" TargetMode="External"/><Relationship Id="rId19" Type="http://schemas.openxmlformats.org/officeDocument/2006/relationships/hyperlink" Target="https://www.gamakatsu.co.jp/products/12-206/" TargetMode="External"/><Relationship Id="rId20" Type="http://schemas.openxmlformats.org/officeDocument/2006/relationships/hyperlink" Target="https://www.marukyu-global.com/marukyu_ch/carp_descsu.html" TargetMode="External"/><Relationship Id="rId21" Type="http://schemas.openxmlformats.org/officeDocument/2006/relationships/hyperlink" Target="https://www.daiwa.com/jp/beginner/tackle/float" TargetMode="External"/><Relationship Id="rId22" Type="http://schemas.openxmlformats.org/officeDocument/2006/relationships/hyperlink" Target="https://pubmed.ncbi.nlm.nih.gov/34929304/" TargetMode="External"/><Relationship Id="rId23" Type="http://schemas.openxmlformats.org/officeDocument/2006/relationships/hyperlink" Target="https://www.sciencedirect.com/science/article/pii/S0305197812001238" TargetMode="External"/><Relationship Id="rId24" Type="http://schemas.openxmlformats.org/officeDocument/2006/relationships/hyperlink" Target="https://www.gamakatsu.co.jp/products/12-014/" TargetMode="External"/><Relationship Id="rId25" Type="http://schemas.openxmlformats.org/officeDocument/2006/relationships/hyperlink" Target="https://www.marukyu-global.com/marukyu_ch/crucian_descgt.html" TargetMode="External"/><Relationship Id="rId26" Type="http://schemas.openxmlformats.org/officeDocument/2006/relationships/hyperlink" Target="https://www.marukyu-global.com/marukyu_ch/crucian_descbd.html" TargetMode="External"/><Relationship Id="rId27" Type="http://schemas.openxmlformats.org/officeDocument/2006/relationships/hyperlink" Target="https://www.fao.org/fishery/docs/CDrom/aquaculture/I1129m/file/en/en_silvercarp.htm" TargetMode="External"/><Relationship Id="rId28" Type="http://schemas.openxmlformats.org/officeDocument/2006/relationships/hyperlink" Target="https://www.fao.org/fishery/docs/CDrom/aquaculture/I1129m/file/en/en_bigheadcarp.htm" TargetMode="External"/><Relationship Id="rId29" Type="http://schemas.openxmlformats.org/officeDocument/2006/relationships/hyperlink" Target="https://www.fao.org/fishery/docs/CDrom/aquaculture/I1129m/file/en/en_grasscarp.htm" TargetMode="External"/><Relationship Id="rId30" Type="http://schemas.openxmlformats.org/officeDocument/2006/relationships/hyperlink" Target="https://fishing.sunline.co.jp/english/line/197/" TargetMode="External"/><Relationship Id="rId31" Type="http://schemas.openxmlformats.org/officeDocument/2006/relationships/hyperlink" Target="https://www.gamakatsu.co.jp/products/66-074/" TargetMode="External"/><Relationship Id="rId32" Type="http://schemas.openxmlformats.org/officeDocument/2006/relationships/hyperlink" Target="https://fish.shimano.com/en-AU/content/c/Articles/how-to/playing-fish.html" TargetMode="External"/><Relationship Id="rId33" Type="http://schemas.openxmlformats.org/officeDocument/2006/relationships/hyperlink" Target="https://www.fws.gov/species/black-carp-mylopharyngodon-piceus" TargetMode="External"/><Relationship Id="rId34" Type="http://schemas.openxmlformats.org/officeDocument/2006/relationships/hyperlink" Target="https://www.fao.org/4/ac233e/AC233E01.htm" TargetMode="External"/><Relationship Id="rId35" Type="http://schemas.openxmlformats.org/officeDocument/2006/relationships/hyperlink" Target="https://scholarsjunction.msstate.edu/td/1396/" TargetMode="External"/><Relationship Id="rId36" Type="http://schemas.openxmlformats.org/officeDocument/2006/relationships/hyperlink" Target="https://fish.shimano.com/es-ES/product/rods/carp/carp/p-tribal-tx-2a-carp-cork.html" TargetMode="External"/><Relationship Id="rId37" Type="http://schemas.openxmlformats.org/officeDocument/2006/relationships/hyperlink" Target="https://www.fao.org/fishery/docs/CDrom/aquaculture/I1129m/file/en/en_niletilapia.htm" TargetMode="External"/><Relationship Id="rId38" Type="http://schemas.openxmlformats.org/officeDocument/2006/relationships/hyperlink" Target="https://ccsenet.org/journal/index.php/jas/article/view/0/43274" TargetMode="External"/><Relationship Id="rId39" Type="http://schemas.openxmlformats.org/officeDocument/2006/relationships/hyperlink" Target="https://doi.org/10.1016/j.jtherbio.2007.05.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六类淡水鱼实战作钓与智能决策报告</dc:title>
  <dc:subject>生口与滑口的线组 饵料 钓法及现场调整</dc:subject>
  <dc:creator/>
  <cp:keywords>鲤鱼 鲫鱼 鲢鳙 草鱼 青鱼 罗非 作钓决策</cp:keywords>
  <dc:description>generated by python-docx</dc:description>
  <cp:lastModifiedBy/>
  <cp:revision>1</cp:revision>
  <dcterms:created xsi:type="dcterms:W3CDTF">2013-12-23T23:15:00Z</dcterms:created>
  <dcterms:modified xsi:type="dcterms:W3CDTF">2013-12-23T23:15:00Z</dcterms:modified>
  <cp:category/>
</cp:coreProperties>
</file>